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80"/>
        <w:gridCol w:w="1576"/>
        <w:gridCol w:w="567"/>
        <w:gridCol w:w="2155"/>
      </w:tblGrid>
      <w:tr w:rsidR="00412762" w:rsidRPr="00A07B7E" w:rsidTr="00412762">
        <w:trPr>
          <w:trHeight w:val="284"/>
        </w:trPr>
        <w:tc>
          <w:tcPr>
            <w:tcW w:w="680" w:type="dxa"/>
            <w:hideMark/>
          </w:tcPr>
          <w:p w:rsidR="00412762" w:rsidRPr="00A07B7E" w:rsidRDefault="00C05FAB">
            <w:pPr>
              <w:pStyle w:val="Header"/>
              <w:rPr>
                <w:rFonts w:ascii="Times New Roman" w:eastAsia="Times New Roman" w:hAnsi="Times New Roman"/>
                <w:spacing w:val="20"/>
                <w:sz w:val="24"/>
                <w:szCs w:val="24"/>
                <w:lang w:val="lv-LV"/>
              </w:rPr>
            </w:pPr>
            <w:r>
              <w:rPr>
                <w:rFonts w:ascii="Times New Roman" w:eastAsia="Times New Roman" w:hAnsi="Times New Roman"/>
                <w:sz w:val="24"/>
                <w:szCs w:val="24"/>
                <w:lang w:val="lv-LV"/>
              </w:rPr>
              <w:t xml:space="preserve"> </w:t>
            </w:r>
            <w:r w:rsidR="00412762" w:rsidRPr="00A07B7E">
              <w:rPr>
                <w:rFonts w:ascii="Times New Roman" w:eastAsia="Times New Roman" w:hAnsi="Times New Roman"/>
                <w:sz w:val="24"/>
                <w:szCs w:val="24"/>
                <w:lang w:val="lv-LV"/>
              </w:rPr>
              <w:t>Rīgā</w:t>
            </w:r>
          </w:p>
        </w:tc>
        <w:tc>
          <w:tcPr>
            <w:tcW w:w="1531" w:type="dxa"/>
            <w:tcBorders>
              <w:top w:val="nil"/>
              <w:left w:val="nil"/>
              <w:bottom w:val="dashed" w:sz="4" w:space="0" w:color="auto"/>
              <w:right w:val="nil"/>
            </w:tcBorders>
            <w:hideMark/>
          </w:tcPr>
          <w:p w:rsidR="00412762" w:rsidRPr="00A07B7E" w:rsidRDefault="002049D2">
            <w:pPr>
              <w:rPr>
                <w:rFonts w:ascii="Times New Roman" w:eastAsia="Times New Roman" w:hAnsi="Times New Roman"/>
                <w:spacing w:val="20"/>
                <w:sz w:val="24"/>
                <w:szCs w:val="24"/>
                <w:lang w:val="lv-LV"/>
              </w:rPr>
            </w:pPr>
            <w:r>
              <w:rPr>
                <w:rFonts w:ascii="Times New Roman" w:eastAsia="Times New Roman" w:hAnsi="Times New Roman"/>
                <w:spacing w:val="20"/>
                <w:sz w:val="24"/>
                <w:szCs w:val="24"/>
                <w:lang w:val="lv-LV"/>
              </w:rPr>
              <w:t>05.12.2017.</w:t>
            </w:r>
          </w:p>
        </w:tc>
        <w:tc>
          <w:tcPr>
            <w:tcW w:w="567" w:type="dxa"/>
            <w:hideMark/>
          </w:tcPr>
          <w:p w:rsidR="00412762" w:rsidRPr="00A07B7E" w:rsidRDefault="00412762">
            <w:pPr>
              <w:pStyle w:val="Header"/>
              <w:rPr>
                <w:rFonts w:ascii="Times New Roman" w:eastAsia="Times New Roman" w:hAnsi="Times New Roman"/>
                <w:spacing w:val="20"/>
                <w:sz w:val="24"/>
                <w:szCs w:val="24"/>
                <w:lang w:val="lv-LV"/>
              </w:rPr>
            </w:pPr>
            <w:r w:rsidRPr="00A07B7E">
              <w:rPr>
                <w:rFonts w:ascii="Times New Roman" w:eastAsia="Times New Roman" w:hAnsi="Times New Roman"/>
                <w:sz w:val="24"/>
                <w:szCs w:val="24"/>
                <w:lang w:val="lv-LV"/>
              </w:rPr>
              <w:t>Nr.</w:t>
            </w:r>
          </w:p>
        </w:tc>
        <w:tc>
          <w:tcPr>
            <w:tcW w:w="2155" w:type="dxa"/>
            <w:tcBorders>
              <w:top w:val="nil"/>
              <w:left w:val="nil"/>
              <w:bottom w:val="dashed" w:sz="4" w:space="0" w:color="auto"/>
              <w:right w:val="nil"/>
            </w:tcBorders>
            <w:hideMark/>
          </w:tcPr>
          <w:p w:rsidR="00412762" w:rsidRPr="00A07B7E" w:rsidRDefault="002049D2">
            <w:pPr>
              <w:rPr>
                <w:rFonts w:ascii="Times New Roman" w:eastAsia="Times New Roman" w:hAnsi="Times New Roman"/>
                <w:spacing w:val="20"/>
                <w:sz w:val="24"/>
                <w:szCs w:val="24"/>
                <w:lang w:val="lv-LV"/>
              </w:rPr>
            </w:pPr>
            <w:r>
              <w:rPr>
                <w:rFonts w:ascii="Times New Roman" w:eastAsia="Times New Roman" w:hAnsi="Times New Roman"/>
                <w:spacing w:val="20"/>
                <w:sz w:val="24"/>
                <w:szCs w:val="24"/>
                <w:lang w:val="lv-LV"/>
              </w:rPr>
              <w:t>01-05/4495</w:t>
            </w:r>
          </w:p>
        </w:tc>
      </w:tr>
      <w:tr w:rsidR="00412762" w:rsidRPr="00A07B7E" w:rsidTr="00412762">
        <w:trPr>
          <w:trHeight w:val="284"/>
        </w:trPr>
        <w:tc>
          <w:tcPr>
            <w:tcW w:w="680" w:type="dxa"/>
            <w:hideMark/>
          </w:tcPr>
          <w:p w:rsidR="00412762" w:rsidRPr="00A07B7E" w:rsidRDefault="00412762">
            <w:pPr>
              <w:pStyle w:val="Header"/>
              <w:rPr>
                <w:rFonts w:ascii="Times New Roman" w:eastAsia="Times New Roman" w:hAnsi="Times New Roman"/>
                <w:spacing w:val="20"/>
                <w:sz w:val="24"/>
                <w:szCs w:val="24"/>
                <w:lang w:val="lv-LV"/>
              </w:rPr>
            </w:pPr>
            <w:r w:rsidRPr="00A07B7E">
              <w:rPr>
                <w:rFonts w:ascii="Times New Roman" w:eastAsia="Times New Roman" w:hAnsi="Times New Roman"/>
                <w:sz w:val="24"/>
                <w:szCs w:val="24"/>
                <w:lang w:val="lv-LV"/>
              </w:rPr>
              <w:t>Uz</w:t>
            </w:r>
          </w:p>
        </w:tc>
        <w:tc>
          <w:tcPr>
            <w:tcW w:w="1531" w:type="dxa"/>
            <w:tcBorders>
              <w:top w:val="dashed" w:sz="4" w:space="0" w:color="auto"/>
              <w:left w:val="nil"/>
              <w:bottom w:val="dashed" w:sz="4" w:space="0" w:color="auto"/>
              <w:right w:val="nil"/>
            </w:tcBorders>
          </w:tcPr>
          <w:p w:rsidR="00412762" w:rsidRPr="00A07B7E" w:rsidRDefault="00412762">
            <w:pPr>
              <w:pStyle w:val="Header"/>
              <w:rPr>
                <w:rFonts w:ascii="Times New Roman" w:eastAsia="Times New Roman" w:hAnsi="Times New Roman"/>
                <w:spacing w:val="20"/>
                <w:sz w:val="24"/>
                <w:szCs w:val="24"/>
                <w:lang w:val="lv-LV"/>
              </w:rPr>
            </w:pPr>
          </w:p>
        </w:tc>
        <w:tc>
          <w:tcPr>
            <w:tcW w:w="567" w:type="dxa"/>
            <w:hideMark/>
          </w:tcPr>
          <w:p w:rsidR="00412762" w:rsidRPr="00A07B7E" w:rsidRDefault="00412762">
            <w:pPr>
              <w:pStyle w:val="Header"/>
              <w:rPr>
                <w:rFonts w:ascii="Times New Roman" w:eastAsia="Times New Roman" w:hAnsi="Times New Roman"/>
                <w:spacing w:val="20"/>
                <w:sz w:val="24"/>
                <w:szCs w:val="24"/>
                <w:lang w:val="lv-LV"/>
              </w:rPr>
            </w:pPr>
            <w:r w:rsidRPr="00A07B7E">
              <w:rPr>
                <w:rFonts w:ascii="Times New Roman" w:eastAsia="Times New Roman" w:hAnsi="Times New Roman"/>
                <w:sz w:val="24"/>
                <w:szCs w:val="24"/>
                <w:lang w:val="lv-LV"/>
              </w:rPr>
              <w:t>Nr.</w:t>
            </w:r>
          </w:p>
        </w:tc>
        <w:tc>
          <w:tcPr>
            <w:tcW w:w="2155" w:type="dxa"/>
            <w:tcBorders>
              <w:top w:val="dashed" w:sz="4" w:space="0" w:color="auto"/>
              <w:left w:val="nil"/>
              <w:bottom w:val="dashed" w:sz="4" w:space="0" w:color="auto"/>
              <w:right w:val="nil"/>
            </w:tcBorders>
          </w:tcPr>
          <w:p w:rsidR="00412762" w:rsidRPr="00A07B7E" w:rsidRDefault="00412762">
            <w:pPr>
              <w:pStyle w:val="Header"/>
              <w:rPr>
                <w:rFonts w:ascii="Times New Roman" w:eastAsia="Times New Roman" w:hAnsi="Times New Roman"/>
                <w:spacing w:val="20"/>
                <w:sz w:val="24"/>
                <w:szCs w:val="24"/>
                <w:lang w:val="lv-LV"/>
              </w:rPr>
            </w:pPr>
          </w:p>
        </w:tc>
      </w:tr>
    </w:tbl>
    <w:p w:rsidR="004111E5" w:rsidRPr="00C05C94" w:rsidRDefault="004111E5" w:rsidP="004111E5">
      <w:pPr>
        <w:spacing w:after="0" w:line="240" w:lineRule="auto"/>
        <w:jc w:val="right"/>
        <w:rPr>
          <w:rFonts w:ascii="Times New Roman" w:hAnsi="Times New Roman"/>
          <w:sz w:val="24"/>
          <w:szCs w:val="24"/>
          <w:lang w:val="lv-LV"/>
        </w:rPr>
      </w:pPr>
      <w:r w:rsidRPr="00C05C94">
        <w:rPr>
          <w:rFonts w:ascii="Times New Roman" w:hAnsi="Times New Roman"/>
          <w:sz w:val="24"/>
          <w:szCs w:val="24"/>
          <w:lang w:val="lv-LV"/>
        </w:rPr>
        <w:t>Valsts kancelejai</w:t>
      </w:r>
    </w:p>
    <w:p w:rsidR="004111E5" w:rsidRPr="00956950" w:rsidRDefault="004111E5" w:rsidP="004111E5">
      <w:pPr>
        <w:spacing w:after="0" w:line="240" w:lineRule="auto"/>
        <w:jc w:val="right"/>
        <w:rPr>
          <w:rFonts w:ascii="Times New Roman" w:hAnsi="Times New Roman"/>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4111E5" w:rsidRPr="002049D2" w:rsidTr="00692C53">
        <w:tc>
          <w:tcPr>
            <w:tcW w:w="5529" w:type="dxa"/>
          </w:tcPr>
          <w:p w:rsidR="004111E5" w:rsidRPr="00956950" w:rsidRDefault="004111E5" w:rsidP="00793BB6">
            <w:pPr>
              <w:pStyle w:val="NoSpacing"/>
              <w:rPr>
                <w:rFonts w:ascii="Times New Roman" w:hAnsi="Times New Roman"/>
                <w:sz w:val="24"/>
                <w:szCs w:val="24"/>
                <w:lang w:val="lv-LV"/>
              </w:rPr>
            </w:pPr>
            <w:bookmarkStart w:id="0" w:name="_GoBack"/>
            <w:r w:rsidRPr="00956950">
              <w:rPr>
                <w:rFonts w:ascii="Times New Roman" w:hAnsi="Times New Roman"/>
                <w:sz w:val="24"/>
                <w:szCs w:val="24"/>
                <w:lang w:val="lv-LV" w:eastAsia="lv-LV"/>
              </w:rPr>
              <w:t>Par</w:t>
            </w:r>
            <w:r w:rsidR="00EC7731" w:rsidRPr="00956950">
              <w:rPr>
                <w:rFonts w:ascii="Times New Roman" w:hAnsi="Times New Roman"/>
                <w:sz w:val="24"/>
                <w:szCs w:val="24"/>
                <w:lang w:val="lv-LV" w:eastAsia="lv-LV"/>
              </w:rPr>
              <w:t xml:space="preserve"> Ministru kabineta 2017.</w:t>
            </w:r>
            <w:r w:rsidR="00EC7731" w:rsidRPr="00956950">
              <w:rPr>
                <w:rFonts w:ascii="Times New Roman" w:hAnsi="Times New Roman"/>
                <w:sz w:val="24"/>
                <w:szCs w:val="24"/>
                <w:lang w:val="lv-LV"/>
              </w:rPr>
              <w:t xml:space="preserve">gada 21.marta  </w:t>
            </w:r>
            <w:r w:rsidR="006D01A7" w:rsidRPr="00956950">
              <w:rPr>
                <w:rFonts w:ascii="Times New Roman" w:hAnsi="Times New Roman"/>
                <w:sz w:val="24"/>
                <w:szCs w:val="24"/>
                <w:lang w:val="lv-LV"/>
              </w:rPr>
              <w:t xml:space="preserve">sēdes </w:t>
            </w:r>
            <w:proofErr w:type="spellStart"/>
            <w:r w:rsidR="00EC7731" w:rsidRPr="00956950">
              <w:rPr>
                <w:rFonts w:ascii="Times New Roman" w:hAnsi="Times New Roman"/>
                <w:sz w:val="24"/>
                <w:szCs w:val="24"/>
                <w:lang w:val="lv-LV"/>
              </w:rPr>
              <w:t>protokollēmuma</w:t>
            </w:r>
            <w:proofErr w:type="spellEnd"/>
            <w:r w:rsidR="00EC7731" w:rsidRPr="00956950">
              <w:rPr>
                <w:rFonts w:ascii="Times New Roman" w:hAnsi="Times New Roman"/>
                <w:sz w:val="24"/>
                <w:szCs w:val="24"/>
                <w:lang w:val="lv-LV"/>
              </w:rPr>
              <w:t xml:space="preserve"> </w:t>
            </w:r>
            <w:r w:rsidR="006D01A7" w:rsidRPr="00956950">
              <w:rPr>
                <w:rFonts w:ascii="Times New Roman" w:hAnsi="Times New Roman"/>
                <w:sz w:val="24"/>
                <w:szCs w:val="24"/>
                <w:lang w:val="lv-LV"/>
              </w:rPr>
              <w:t xml:space="preserve"> </w:t>
            </w:r>
            <w:r w:rsidR="003C15D9" w:rsidRPr="00956950">
              <w:rPr>
                <w:rFonts w:ascii="Times New Roman" w:hAnsi="Times New Roman"/>
                <w:sz w:val="24"/>
                <w:szCs w:val="24"/>
                <w:lang w:val="lv-LV"/>
              </w:rPr>
              <w:t xml:space="preserve">(prot. Nr.14 31.§) </w:t>
            </w:r>
            <w:r w:rsidR="00656D42" w:rsidRPr="00956950">
              <w:rPr>
                <w:rFonts w:ascii="Times New Roman" w:hAnsi="Times New Roman"/>
                <w:sz w:val="24"/>
                <w:szCs w:val="24"/>
                <w:lang w:val="lv-LV"/>
              </w:rPr>
              <w:t xml:space="preserve">“Informatīvais ziņojums “Par Nodarbinātības padomes ietvaros identificēto pasākumu kopumu un to izpildes termiņiem”” </w:t>
            </w:r>
            <w:r w:rsidR="00766916" w:rsidRPr="00956950">
              <w:rPr>
                <w:rFonts w:ascii="Times New Roman" w:hAnsi="Times New Roman"/>
                <w:sz w:val="24"/>
                <w:szCs w:val="24"/>
                <w:lang w:val="lv-LV"/>
              </w:rPr>
              <w:t xml:space="preserve">3.1.1. un 3.1.2 apakšpunktā </w:t>
            </w:r>
            <w:r w:rsidR="003C15D9" w:rsidRPr="00956950">
              <w:rPr>
                <w:rFonts w:ascii="Times New Roman" w:hAnsi="Times New Roman"/>
                <w:sz w:val="24"/>
                <w:szCs w:val="24"/>
                <w:lang w:val="lv-LV"/>
              </w:rPr>
              <w:t>doto uzdevumu izpildi</w:t>
            </w:r>
            <w:r w:rsidR="00EC7731" w:rsidRPr="00956950">
              <w:rPr>
                <w:rFonts w:ascii="Times New Roman" w:hAnsi="Times New Roman"/>
                <w:sz w:val="24"/>
                <w:szCs w:val="24"/>
                <w:lang w:val="lv-LV"/>
              </w:rPr>
              <w:t xml:space="preserve"> </w:t>
            </w:r>
            <w:r w:rsidRPr="00956950">
              <w:rPr>
                <w:rFonts w:ascii="Times New Roman" w:hAnsi="Times New Roman"/>
                <w:sz w:val="24"/>
                <w:szCs w:val="24"/>
                <w:lang w:val="lv-LV"/>
              </w:rPr>
              <w:t xml:space="preserve"> </w:t>
            </w:r>
            <w:bookmarkEnd w:id="0"/>
          </w:p>
        </w:tc>
      </w:tr>
    </w:tbl>
    <w:p w:rsidR="004111E5" w:rsidRPr="00956950" w:rsidRDefault="004111E5" w:rsidP="004111E5">
      <w:pPr>
        <w:spacing w:after="0" w:line="240" w:lineRule="auto"/>
        <w:jc w:val="both"/>
        <w:rPr>
          <w:rFonts w:ascii="Times New Roman" w:hAnsi="Times New Roman"/>
          <w:sz w:val="24"/>
          <w:szCs w:val="24"/>
          <w:lang w:val="lv-LV"/>
        </w:rPr>
      </w:pPr>
    </w:p>
    <w:p w:rsidR="004111E5" w:rsidRPr="00956950" w:rsidRDefault="004111E5" w:rsidP="004111E5">
      <w:pPr>
        <w:spacing w:after="0" w:line="240" w:lineRule="auto"/>
        <w:ind w:firstLine="720"/>
        <w:jc w:val="both"/>
        <w:rPr>
          <w:rFonts w:ascii="Times New Roman" w:hAnsi="Times New Roman"/>
          <w:sz w:val="24"/>
          <w:szCs w:val="24"/>
          <w:lang w:val="lv-LV"/>
        </w:rPr>
      </w:pPr>
      <w:r w:rsidRPr="00956950">
        <w:rPr>
          <w:rFonts w:ascii="Times New Roman" w:hAnsi="Times New Roman"/>
          <w:sz w:val="24"/>
          <w:szCs w:val="24"/>
          <w:lang w:val="lv-LV"/>
        </w:rPr>
        <w:t>Pamatojoties uz Ministru kabineta 2009.gada 7.aprīļa noteikumu Nr.300 “Ministru kabineta kārtības rullis”</w:t>
      </w:r>
      <w:r w:rsidR="00D4128B" w:rsidRPr="00956950">
        <w:rPr>
          <w:rFonts w:ascii="Times New Roman" w:hAnsi="Times New Roman"/>
          <w:sz w:val="24"/>
          <w:szCs w:val="24"/>
          <w:lang w:val="lv-LV"/>
        </w:rPr>
        <w:t xml:space="preserve"> </w:t>
      </w:r>
      <w:r w:rsidR="006D01A7" w:rsidRPr="00956950">
        <w:rPr>
          <w:rFonts w:ascii="Times New Roman" w:hAnsi="Times New Roman"/>
          <w:sz w:val="24"/>
          <w:szCs w:val="24"/>
          <w:lang w:val="lv-LV"/>
        </w:rPr>
        <w:t>164.4</w:t>
      </w:r>
      <w:r w:rsidR="00D4128B" w:rsidRPr="00956950">
        <w:rPr>
          <w:rFonts w:ascii="Times New Roman" w:hAnsi="Times New Roman"/>
          <w:sz w:val="24"/>
          <w:szCs w:val="24"/>
          <w:lang w:val="lv-LV"/>
        </w:rPr>
        <w:t>.</w:t>
      </w:r>
      <w:r w:rsidR="00BD4F81" w:rsidRPr="00956950">
        <w:rPr>
          <w:rFonts w:ascii="Times New Roman" w:hAnsi="Times New Roman"/>
          <w:sz w:val="24"/>
          <w:szCs w:val="24"/>
          <w:lang w:val="lv-LV"/>
        </w:rPr>
        <w:t> </w:t>
      </w:r>
      <w:r w:rsidR="00D4128B" w:rsidRPr="00956950">
        <w:rPr>
          <w:rFonts w:ascii="Times New Roman" w:hAnsi="Times New Roman"/>
          <w:sz w:val="24"/>
          <w:szCs w:val="24"/>
          <w:lang w:val="lv-LV"/>
        </w:rPr>
        <w:t>apakšpunktu</w:t>
      </w:r>
      <w:r w:rsidRPr="00956950">
        <w:rPr>
          <w:rFonts w:ascii="Times New Roman" w:hAnsi="Times New Roman"/>
          <w:sz w:val="24"/>
          <w:szCs w:val="24"/>
          <w:lang w:val="lv-LV"/>
        </w:rPr>
        <w:t xml:space="preserve">, </w:t>
      </w:r>
      <w:r w:rsidR="00656D42" w:rsidRPr="00956950">
        <w:rPr>
          <w:rFonts w:ascii="Times New Roman" w:hAnsi="Times New Roman"/>
          <w:sz w:val="24"/>
          <w:szCs w:val="24"/>
          <w:lang w:val="lv-LV"/>
        </w:rPr>
        <w:t>iesniedz</w:t>
      </w:r>
      <w:r w:rsidR="00793BB6" w:rsidRPr="00956950">
        <w:rPr>
          <w:rFonts w:ascii="Times New Roman" w:hAnsi="Times New Roman"/>
          <w:sz w:val="24"/>
          <w:szCs w:val="24"/>
          <w:lang w:val="lv-LV"/>
        </w:rPr>
        <w:t>u</w:t>
      </w:r>
      <w:r w:rsidR="00656D42" w:rsidRPr="00956950">
        <w:rPr>
          <w:rFonts w:ascii="Times New Roman" w:hAnsi="Times New Roman"/>
          <w:sz w:val="24"/>
          <w:szCs w:val="24"/>
          <w:lang w:val="lv-LV"/>
        </w:rPr>
        <w:t xml:space="preserve"> izskatīšanai </w:t>
      </w:r>
      <w:r w:rsidR="00766916" w:rsidRPr="00956950">
        <w:rPr>
          <w:rFonts w:ascii="Times New Roman" w:hAnsi="Times New Roman"/>
          <w:sz w:val="24"/>
          <w:szCs w:val="24"/>
          <w:lang w:val="lv-LV"/>
        </w:rPr>
        <w:t xml:space="preserve">Ministru kabineta sēdē Ministru kabineta sēdes </w:t>
      </w:r>
      <w:proofErr w:type="spellStart"/>
      <w:r w:rsidR="00766916" w:rsidRPr="00956950">
        <w:rPr>
          <w:rFonts w:ascii="Times New Roman" w:hAnsi="Times New Roman"/>
          <w:sz w:val="24"/>
          <w:szCs w:val="24"/>
          <w:lang w:val="lv-LV"/>
        </w:rPr>
        <w:t>protokollēmuma</w:t>
      </w:r>
      <w:proofErr w:type="spellEnd"/>
      <w:r w:rsidR="00766916" w:rsidRPr="00956950">
        <w:rPr>
          <w:rFonts w:ascii="Times New Roman" w:hAnsi="Times New Roman"/>
          <w:sz w:val="24"/>
          <w:szCs w:val="24"/>
          <w:lang w:val="lv-LV"/>
        </w:rPr>
        <w:t xml:space="preserve"> projektu  </w:t>
      </w:r>
      <w:r w:rsidR="00656D42" w:rsidRPr="00956950">
        <w:rPr>
          <w:rFonts w:ascii="Times New Roman" w:hAnsi="Times New Roman"/>
          <w:sz w:val="24"/>
          <w:szCs w:val="24"/>
          <w:lang w:val="lv-LV"/>
        </w:rPr>
        <w:t>“</w:t>
      </w:r>
      <w:r w:rsidR="00622120" w:rsidRPr="00956950">
        <w:rPr>
          <w:rFonts w:ascii="Times New Roman" w:hAnsi="Times New Roman"/>
          <w:sz w:val="24"/>
          <w:szCs w:val="24"/>
          <w:lang w:val="lv-LV"/>
        </w:rPr>
        <w:t xml:space="preserve">Par Ministru kabineta 2017.gada 21.marta sēdes </w:t>
      </w:r>
      <w:proofErr w:type="spellStart"/>
      <w:r w:rsidR="004B581E" w:rsidRPr="00956950">
        <w:rPr>
          <w:rFonts w:ascii="Times New Roman" w:hAnsi="Times New Roman"/>
          <w:sz w:val="24"/>
          <w:szCs w:val="24"/>
          <w:lang w:val="lv-LV"/>
        </w:rPr>
        <w:t>protokollēmuma</w:t>
      </w:r>
      <w:proofErr w:type="spellEnd"/>
      <w:r w:rsidR="004B581E" w:rsidRPr="00956950">
        <w:rPr>
          <w:rFonts w:ascii="Times New Roman" w:hAnsi="Times New Roman"/>
          <w:sz w:val="24"/>
          <w:szCs w:val="24"/>
          <w:lang w:val="lv-LV"/>
        </w:rPr>
        <w:t xml:space="preserve"> </w:t>
      </w:r>
      <w:r w:rsidR="00622120" w:rsidRPr="00956950">
        <w:rPr>
          <w:rFonts w:ascii="Times New Roman" w:hAnsi="Times New Roman"/>
          <w:sz w:val="24"/>
          <w:szCs w:val="24"/>
          <w:lang w:val="lv-LV"/>
        </w:rPr>
        <w:t>(prot. Nr.14. 31.§) “</w:t>
      </w:r>
      <w:r w:rsidR="00656D42" w:rsidRPr="00956950">
        <w:rPr>
          <w:rFonts w:ascii="Times New Roman" w:hAnsi="Times New Roman"/>
          <w:sz w:val="24"/>
          <w:szCs w:val="24"/>
          <w:lang w:val="lv-LV"/>
        </w:rPr>
        <w:t xml:space="preserve">Informatīvais ziņojums “Par Nodarbinātības padomes ietvaros identificēto pasākumu kopumu un to izpildes termiņiem”” </w:t>
      </w:r>
      <w:r w:rsidR="00622120" w:rsidRPr="00956950">
        <w:rPr>
          <w:rFonts w:ascii="Times New Roman" w:hAnsi="Times New Roman"/>
          <w:sz w:val="24"/>
          <w:szCs w:val="24"/>
          <w:lang w:val="lv-LV"/>
        </w:rPr>
        <w:t>3.1.1. un 3.1.2 apakšpunktā doto uzdevumu izpildi</w:t>
      </w:r>
      <w:r w:rsidR="004B581E" w:rsidRPr="00956950">
        <w:rPr>
          <w:rFonts w:ascii="Times New Roman" w:hAnsi="Times New Roman"/>
          <w:sz w:val="24"/>
          <w:szCs w:val="24"/>
          <w:lang w:val="lv-LV"/>
        </w:rPr>
        <w:t>”</w:t>
      </w:r>
      <w:r w:rsidR="00622120" w:rsidRPr="00956950">
        <w:rPr>
          <w:rFonts w:ascii="Times New Roman" w:hAnsi="Times New Roman"/>
          <w:sz w:val="24"/>
          <w:szCs w:val="24"/>
          <w:lang w:val="lv-LV"/>
        </w:rPr>
        <w:t xml:space="preserve">.  </w:t>
      </w:r>
    </w:p>
    <w:p w:rsidR="004111E5" w:rsidRPr="00956950" w:rsidRDefault="004111E5" w:rsidP="004111E5">
      <w:pPr>
        <w:spacing w:after="0" w:line="240" w:lineRule="auto"/>
        <w:ind w:firstLine="720"/>
        <w:jc w:val="both"/>
        <w:rPr>
          <w:rFonts w:ascii="Times New Roman" w:hAnsi="Times New Roman"/>
          <w:sz w:val="24"/>
          <w:szCs w:val="24"/>
          <w:lang w:val="lv-LV"/>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2804"/>
        <w:gridCol w:w="5670"/>
      </w:tblGrid>
      <w:tr w:rsidR="00C05C94" w:rsidRPr="002049D2" w:rsidTr="00692C53">
        <w:trPr>
          <w:jc w:val="center"/>
        </w:trPr>
        <w:tc>
          <w:tcPr>
            <w:tcW w:w="735" w:type="dxa"/>
            <w:tcBorders>
              <w:top w:val="single" w:sz="4" w:space="0" w:color="auto"/>
              <w:left w:val="single" w:sz="4" w:space="0" w:color="auto"/>
              <w:bottom w:val="single" w:sz="4" w:space="0" w:color="auto"/>
            </w:tcBorders>
          </w:tcPr>
          <w:p w:rsidR="004111E5" w:rsidRPr="00956950" w:rsidRDefault="004111E5" w:rsidP="00692C53">
            <w:pPr>
              <w:spacing w:after="0" w:line="240" w:lineRule="auto"/>
              <w:jc w:val="center"/>
              <w:rPr>
                <w:rFonts w:ascii="Times New Roman" w:hAnsi="Times New Roman"/>
                <w:sz w:val="24"/>
                <w:szCs w:val="24"/>
                <w:lang w:val="lv-LV"/>
              </w:rPr>
            </w:pPr>
            <w:r w:rsidRPr="00956950">
              <w:rPr>
                <w:rFonts w:ascii="Times New Roman" w:hAnsi="Times New Roman"/>
                <w:sz w:val="24"/>
                <w:szCs w:val="24"/>
                <w:lang w:val="lv-LV"/>
              </w:rPr>
              <w:t>1.</w:t>
            </w:r>
          </w:p>
        </w:tc>
        <w:tc>
          <w:tcPr>
            <w:tcW w:w="2804" w:type="dxa"/>
            <w:tcBorders>
              <w:top w:val="single" w:sz="4" w:space="0" w:color="auto"/>
              <w:bottom w:val="single" w:sz="4" w:space="0" w:color="auto"/>
            </w:tcBorders>
          </w:tcPr>
          <w:p w:rsidR="004111E5" w:rsidRPr="00956950" w:rsidRDefault="004111E5" w:rsidP="00692C53">
            <w:pPr>
              <w:spacing w:after="0" w:line="240" w:lineRule="auto"/>
              <w:rPr>
                <w:rFonts w:ascii="Times New Roman" w:hAnsi="Times New Roman"/>
                <w:sz w:val="24"/>
                <w:szCs w:val="24"/>
                <w:lang w:val="lv-LV"/>
              </w:rPr>
            </w:pPr>
            <w:r w:rsidRPr="00956950">
              <w:rPr>
                <w:rFonts w:ascii="Times New Roman" w:hAnsi="Times New Roman"/>
                <w:sz w:val="24"/>
                <w:szCs w:val="24"/>
                <w:lang w:val="lv-LV"/>
              </w:rPr>
              <w:t>Iesniegšanas pamatojums</w:t>
            </w:r>
          </w:p>
        </w:tc>
        <w:tc>
          <w:tcPr>
            <w:tcW w:w="5670" w:type="dxa"/>
            <w:tcBorders>
              <w:top w:val="single" w:sz="4" w:space="0" w:color="auto"/>
              <w:bottom w:val="single" w:sz="4" w:space="0" w:color="auto"/>
              <w:right w:val="single" w:sz="4" w:space="0" w:color="auto"/>
            </w:tcBorders>
          </w:tcPr>
          <w:p w:rsidR="001925A3" w:rsidRPr="00956950" w:rsidRDefault="00BD4F81" w:rsidP="00F44916">
            <w:pPr>
              <w:pStyle w:val="NoSpacing"/>
              <w:ind w:firstLine="459"/>
              <w:jc w:val="both"/>
              <w:rPr>
                <w:rFonts w:ascii="Times New Roman" w:hAnsi="Times New Roman"/>
                <w:sz w:val="24"/>
                <w:szCs w:val="24"/>
                <w:lang w:val="lv-LV"/>
              </w:rPr>
            </w:pPr>
            <w:proofErr w:type="spellStart"/>
            <w:r w:rsidRPr="00956950">
              <w:rPr>
                <w:rFonts w:ascii="Times New Roman" w:hAnsi="Times New Roman"/>
                <w:sz w:val="24"/>
                <w:szCs w:val="24"/>
                <w:lang w:val="lv-LV"/>
              </w:rPr>
              <w:t>Protokollēmuma</w:t>
            </w:r>
            <w:proofErr w:type="spellEnd"/>
            <w:r w:rsidRPr="00956950">
              <w:rPr>
                <w:rFonts w:ascii="Times New Roman" w:hAnsi="Times New Roman"/>
                <w:sz w:val="24"/>
                <w:szCs w:val="24"/>
                <w:lang w:val="lv-LV"/>
              </w:rPr>
              <w:t xml:space="preserve"> projekts ir izstrādāts, lai izpildītu Ministru kabineta </w:t>
            </w:r>
            <w:r w:rsidR="001925A3" w:rsidRPr="00956950">
              <w:rPr>
                <w:rFonts w:ascii="Times New Roman" w:hAnsi="Times New Roman"/>
                <w:sz w:val="24"/>
                <w:szCs w:val="24"/>
                <w:lang w:val="lv-LV"/>
              </w:rPr>
              <w:t xml:space="preserve">2017. gada 21. marta sēdes </w:t>
            </w:r>
            <w:proofErr w:type="spellStart"/>
            <w:r w:rsidR="001925A3" w:rsidRPr="00956950">
              <w:rPr>
                <w:rFonts w:ascii="Times New Roman" w:hAnsi="Times New Roman"/>
                <w:sz w:val="24"/>
                <w:szCs w:val="24"/>
                <w:lang w:val="lv-LV"/>
              </w:rPr>
              <w:t>protokol</w:t>
            </w:r>
            <w:r w:rsidR="004B581E" w:rsidRPr="00956950">
              <w:rPr>
                <w:rFonts w:ascii="Times New Roman" w:hAnsi="Times New Roman"/>
                <w:sz w:val="24"/>
                <w:szCs w:val="24"/>
                <w:lang w:val="lv-LV"/>
              </w:rPr>
              <w:t>lēmuma</w:t>
            </w:r>
            <w:proofErr w:type="spellEnd"/>
            <w:r w:rsidR="004B581E" w:rsidRPr="00956950">
              <w:rPr>
                <w:rFonts w:ascii="Times New Roman" w:hAnsi="Times New Roman"/>
                <w:sz w:val="24"/>
                <w:szCs w:val="24"/>
                <w:lang w:val="lv-LV"/>
              </w:rPr>
              <w:t xml:space="preserve"> (prot.</w:t>
            </w:r>
            <w:r w:rsidR="001925A3" w:rsidRPr="00956950">
              <w:rPr>
                <w:rFonts w:ascii="Times New Roman" w:hAnsi="Times New Roman"/>
                <w:sz w:val="24"/>
                <w:szCs w:val="24"/>
                <w:lang w:val="lv-LV"/>
              </w:rPr>
              <w:t xml:space="preserve"> Nr.14 31.§</w:t>
            </w:r>
            <w:r w:rsidR="004B581E" w:rsidRPr="00956950">
              <w:rPr>
                <w:rFonts w:ascii="Times New Roman" w:hAnsi="Times New Roman"/>
                <w:sz w:val="24"/>
                <w:szCs w:val="24"/>
                <w:lang w:val="lv-LV"/>
              </w:rPr>
              <w:t>)</w:t>
            </w:r>
            <w:r w:rsidR="001925A3" w:rsidRPr="00956950">
              <w:rPr>
                <w:rFonts w:ascii="Times New Roman" w:hAnsi="Times New Roman"/>
                <w:sz w:val="24"/>
                <w:szCs w:val="24"/>
                <w:lang w:val="lv-LV"/>
              </w:rPr>
              <w:t xml:space="preserve"> 3.1.1. un 3.1.2 </w:t>
            </w:r>
            <w:r w:rsidR="003C15D9" w:rsidRPr="00956950">
              <w:rPr>
                <w:rFonts w:ascii="Times New Roman" w:hAnsi="Times New Roman"/>
                <w:sz w:val="24"/>
                <w:szCs w:val="24"/>
                <w:lang w:val="lv-LV"/>
              </w:rPr>
              <w:t>apakšpunktā</w:t>
            </w:r>
            <w:r w:rsidR="001925A3" w:rsidRPr="00956950">
              <w:rPr>
                <w:rFonts w:ascii="Times New Roman" w:hAnsi="Times New Roman"/>
                <w:sz w:val="24"/>
                <w:szCs w:val="24"/>
                <w:lang w:val="lv-LV"/>
              </w:rPr>
              <w:t xml:space="preserve"> dotos uzdevumus </w:t>
            </w:r>
            <w:r w:rsidR="003C15D9" w:rsidRPr="00956950">
              <w:rPr>
                <w:rFonts w:ascii="Times New Roman" w:hAnsi="Times New Roman"/>
                <w:sz w:val="24"/>
                <w:szCs w:val="24"/>
                <w:lang w:val="lv-LV"/>
              </w:rPr>
              <w:t xml:space="preserve">Izglītības un zinātnes </w:t>
            </w:r>
            <w:r w:rsidR="001925A3" w:rsidRPr="00956950">
              <w:rPr>
                <w:rFonts w:ascii="Times New Roman" w:hAnsi="Times New Roman"/>
                <w:sz w:val="24"/>
                <w:szCs w:val="24"/>
                <w:lang w:val="lv-LV"/>
              </w:rPr>
              <w:t>ministrijai</w:t>
            </w:r>
            <w:r w:rsidR="003C15D9" w:rsidRPr="00956950">
              <w:rPr>
                <w:rFonts w:ascii="Times New Roman" w:hAnsi="Times New Roman"/>
                <w:sz w:val="24"/>
                <w:szCs w:val="24"/>
                <w:lang w:val="lv-LV"/>
              </w:rPr>
              <w:t xml:space="preserve"> (turpmāk – ministrija)</w:t>
            </w:r>
            <w:r w:rsidR="001925A3" w:rsidRPr="00956950">
              <w:rPr>
                <w:rFonts w:ascii="Times New Roman" w:hAnsi="Times New Roman"/>
                <w:sz w:val="24"/>
                <w:szCs w:val="24"/>
                <w:lang w:val="lv-LV"/>
              </w:rPr>
              <w:t>.</w:t>
            </w:r>
          </w:p>
          <w:p w:rsidR="00BD4F81" w:rsidRPr="00956950" w:rsidRDefault="003C15D9" w:rsidP="00F44916">
            <w:pPr>
              <w:pStyle w:val="NoSpacing"/>
              <w:ind w:firstLine="459"/>
              <w:jc w:val="both"/>
              <w:rPr>
                <w:rFonts w:ascii="Times New Roman" w:hAnsi="Times New Roman"/>
                <w:sz w:val="24"/>
                <w:szCs w:val="24"/>
                <w:lang w:val="lv-LV"/>
              </w:rPr>
            </w:pPr>
            <w:r w:rsidRPr="00956950">
              <w:rPr>
                <w:rFonts w:ascii="Times New Roman" w:hAnsi="Times New Roman"/>
                <w:sz w:val="24"/>
                <w:szCs w:val="24"/>
                <w:lang w:val="lv-LV"/>
              </w:rPr>
              <w:t>M</w:t>
            </w:r>
            <w:r w:rsidR="00F44916" w:rsidRPr="00956950">
              <w:rPr>
                <w:rFonts w:ascii="Times New Roman" w:hAnsi="Times New Roman"/>
                <w:sz w:val="24"/>
                <w:szCs w:val="24"/>
                <w:lang w:val="lv-LV"/>
              </w:rPr>
              <w:t>i</w:t>
            </w:r>
            <w:r w:rsidRPr="00956950">
              <w:rPr>
                <w:rFonts w:ascii="Times New Roman" w:hAnsi="Times New Roman"/>
                <w:sz w:val="24"/>
                <w:szCs w:val="24"/>
                <w:lang w:val="lv-LV"/>
              </w:rPr>
              <w:t xml:space="preserve">nistrija </w:t>
            </w:r>
            <w:r w:rsidR="00F44916" w:rsidRPr="00956950">
              <w:rPr>
                <w:rFonts w:ascii="Times New Roman" w:hAnsi="Times New Roman"/>
                <w:sz w:val="24"/>
                <w:szCs w:val="24"/>
                <w:lang w:val="lv-LV"/>
              </w:rPr>
              <w:t xml:space="preserve">ir </w:t>
            </w:r>
            <w:r w:rsidR="00BD4F81" w:rsidRPr="00956950">
              <w:rPr>
                <w:rFonts w:ascii="Times New Roman" w:hAnsi="Times New Roman"/>
                <w:sz w:val="24"/>
                <w:szCs w:val="24"/>
                <w:lang w:val="lv-LV"/>
              </w:rPr>
              <w:t>izvērtējusi iespēju atvieglot pasniedzēju slodžu regulējumu un rast iespēju organizēt mācību darbu 12 mēnešus gadā</w:t>
            </w:r>
            <w:r w:rsidR="00700EBD" w:rsidRPr="00956950">
              <w:rPr>
                <w:rFonts w:ascii="Times New Roman" w:hAnsi="Times New Roman"/>
                <w:sz w:val="24"/>
                <w:szCs w:val="24"/>
                <w:lang w:val="lv-LV"/>
              </w:rPr>
              <w:t xml:space="preserve"> (</w:t>
            </w:r>
            <w:r w:rsidR="00622120" w:rsidRPr="00956950">
              <w:rPr>
                <w:rFonts w:ascii="Times New Roman" w:hAnsi="Times New Roman"/>
                <w:sz w:val="24"/>
                <w:szCs w:val="24"/>
                <w:lang w:val="lv-LV" w:eastAsia="lv-LV"/>
              </w:rPr>
              <w:t xml:space="preserve">Ministru kabineta 2017. </w:t>
            </w:r>
            <w:r w:rsidR="00622120" w:rsidRPr="00956950">
              <w:rPr>
                <w:rFonts w:ascii="Times New Roman" w:hAnsi="Times New Roman"/>
                <w:sz w:val="24"/>
                <w:szCs w:val="24"/>
                <w:lang w:val="lv-LV"/>
              </w:rPr>
              <w:t xml:space="preserve">gada 21. marta  sēdes protokols </w:t>
            </w:r>
            <w:r w:rsidR="00E15E4F" w:rsidRPr="00956950">
              <w:rPr>
                <w:rFonts w:ascii="Times New Roman" w:hAnsi="Times New Roman"/>
                <w:sz w:val="24"/>
                <w:szCs w:val="24"/>
                <w:lang w:val="lv-LV"/>
              </w:rPr>
              <w:t>Nr. </w:t>
            </w:r>
            <w:r w:rsidR="00622120" w:rsidRPr="00956950">
              <w:rPr>
                <w:rFonts w:ascii="Times New Roman" w:hAnsi="Times New Roman"/>
                <w:sz w:val="24"/>
                <w:szCs w:val="24"/>
                <w:lang w:val="lv-LV"/>
              </w:rPr>
              <w:t xml:space="preserve">14 31.§ </w:t>
            </w:r>
            <w:r w:rsidR="00F32BB0" w:rsidRPr="00956950">
              <w:rPr>
                <w:rFonts w:ascii="Times New Roman" w:hAnsi="Times New Roman"/>
                <w:sz w:val="24"/>
                <w:szCs w:val="24"/>
                <w:lang w:val="lv-LV"/>
              </w:rPr>
              <w:t>3.1.1.</w:t>
            </w:r>
            <w:r w:rsidR="00622120" w:rsidRPr="00956950">
              <w:rPr>
                <w:rFonts w:ascii="Times New Roman" w:hAnsi="Times New Roman"/>
                <w:sz w:val="24"/>
                <w:szCs w:val="24"/>
                <w:lang w:val="lv-LV"/>
              </w:rPr>
              <w:t xml:space="preserve"> apakšpunkts</w:t>
            </w:r>
            <w:r w:rsidR="00F32BB0" w:rsidRPr="00956950">
              <w:rPr>
                <w:rFonts w:ascii="Times New Roman" w:hAnsi="Times New Roman"/>
                <w:sz w:val="24"/>
                <w:szCs w:val="24"/>
                <w:lang w:val="lv-LV"/>
              </w:rPr>
              <w:t>)</w:t>
            </w:r>
            <w:r w:rsidR="00BD4F81" w:rsidRPr="00956950">
              <w:rPr>
                <w:rFonts w:ascii="Times New Roman" w:hAnsi="Times New Roman"/>
                <w:sz w:val="24"/>
                <w:szCs w:val="24"/>
                <w:lang w:val="lv-LV"/>
              </w:rPr>
              <w:t xml:space="preserve">. </w:t>
            </w:r>
            <w:r w:rsidR="00700EBD" w:rsidRPr="00956950">
              <w:rPr>
                <w:rFonts w:ascii="Times New Roman" w:hAnsi="Times New Roman"/>
                <w:sz w:val="24"/>
                <w:szCs w:val="24"/>
                <w:lang w:val="lv-LV"/>
              </w:rPr>
              <w:t>Ministrija atzīst, ka a</w:t>
            </w:r>
            <w:r w:rsidR="005B57C2" w:rsidRPr="00956950">
              <w:rPr>
                <w:rFonts w:ascii="Times New Roman" w:hAnsi="Times New Roman"/>
                <w:sz w:val="24"/>
                <w:szCs w:val="24"/>
                <w:lang w:val="lv-LV"/>
              </w:rPr>
              <w:t>tvieglojumi nav iespējami, jo Izglīt</w:t>
            </w:r>
            <w:r w:rsidR="00622120" w:rsidRPr="00956950">
              <w:rPr>
                <w:rFonts w:ascii="Times New Roman" w:hAnsi="Times New Roman"/>
                <w:sz w:val="24"/>
                <w:szCs w:val="24"/>
                <w:lang w:val="lv-LV"/>
              </w:rPr>
              <w:t xml:space="preserve">ības likuma </w:t>
            </w:r>
            <w:r w:rsidR="00E15E4F" w:rsidRPr="00956950">
              <w:rPr>
                <w:rFonts w:ascii="Times New Roman" w:hAnsi="Times New Roman"/>
                <w:sz w:val="24"/>
                <w:szCs w:val="24"/>
                <w:lang w:val="lv-LV"/>
              </w:rPr>
              <w:t>52. </w:t>
            </w:r>
            <w:r w:rsidR="005B57C2" w:rsidRPr="00956950">
              <w:rPr>
                <w:rFonts w:ascii="Times New Roman" w:hAnsi="Times New Roman"/>
                <w:sz w:val="24"/>
                <w:szCs w:val="24"/>
                <w:lang w:val="lv-LV"/>
              </w:rPr>
              <w:t>panta 2</w:t>
            </w:r>
            <w:r w:rsidR="003431E9" w:rsidRPr="00956950">
              <w:rPr>
                <w:rFonts w:ascii="Times New Roman" w:hAnsi="Times New Roman"/>
                <w:sz w:val="24"/>
                <w:szCs w:val="24"/>
                <w:lang w:val="lv-LV"/>
              </w:rPr>
              <w:t>. </w:t>
            </w:r>
            <w:r w:rsidR="005B57C2" w:rsidRPr="00956950">
              <w:rPr>
                <w:rFonts w:ascii="Times New Roman" w:hAnsi="Times New Roman"/>
                <w:sz w:val="24"/>
                <w:szCs w:val="24"/>
                <w:lang w:val="lv-LV"/>
              </w:rPr>
              <w:t>punkts nosaka, ka pedagogam ir tiesības sa</w:t>
            </w:r>
            <w:r w:rsidR="00A07B7E" w:rsidRPr="00956950">
              <w:rPr>
                <w:rFonts w:ascii="Times New Roman" w:hAnsi="Times New Roman"/>
                <w:sz w:val="24"/>
                <w:szCs w:val="24"/>
                <w:lang w:val="lv-LV"/>
              </w:rPr>
              <w:t>ņem</w:t>
            </w:r>
            <w:r w:rsidR="005B57C2" w:rsidRPr="00956950">
              <w:rPr>
                <w:rFonts w:ascii="Times New Roman" w:hAnsi="Times New Roman"/>
                <w:sz w:val="24"/>
                <w:szCs w:val="24"/>
                <w:lang w:val="lv-LV"/>
              </w:rPr>
              <w:t xml:space="preserve">t valsts garantētu apmaksātu ikgadējo astoņu nedēļu atvaļinājumu. </w:t>
            </w:r>
            <w:r w:rsidR="0035197F" w:rsidRPr="00956950">
              <w:rPr>
                <w:rFonts w:ascii="Times New Roman" w:hAnsi="Times New Roman"/>
                <w:sz w:val="24"/>
                <w:szCs w:val="24"/>
                <w:lang w:val="lv-LV"/>
              </w:rPr>
              <w:t xml:space="preserve">Tomēr esošā normatīvā regulējuma ietvaros var rast risinājumus. </w:t>
            </w:r>
            <w:r w:rsidR="005B57C2" w:rsidRPr="00956950">
              <w:rPr>
                <w:rFonts w:ascii="Times New Roman" w:hAnsi="Times New Roman"/>
                <w:sz w:val="24"/>
                <w:szCs w:val="24"/>
                <w:lang w:val="lv-LV"/>
              </w:rPr>
              <w:t>Izglīt</w:t>
            </w:r>
            <w:r w:rsidR="003431E9" w:rsidRPr="00956950">
              <w:rPr>
                <w:rFonts w:ascii="Times New Roman" w:hAnsi="Times New Roman"/>
                <w:sz w:val="24"/>
                <w:szCs w:val="24"/>
                <w:lang w:val="lv-LV"/>
              </w:rPr>
              <w:t>ības likuma 28. </w:t>
            </w:r>
            <w:r w:rsidR="005B57C2" w:rsidRPr="00956950">
              <w:rPr>
                <w:rFonts w:ascii="Times New Roman" w:hAnsi="Times New Roman"/>
                <w:sz w:val="24"/>
                <w:szCs w:val="24"/>
                <w:lang w:val="lv-LV"/>
              </w:rPr>
              <w:t>pants nosaka, ka izglītības iestāde ir patstāvīga izglītības programmu izstrādē un</w:t>
            </w:r>
            <w:r w:rsidR="00A07B7E" w:rsidRPr="00956950">
              <w:rPr>
                <w:rFonts w:ascii="Times New Roman" w:hAnsi="Times New Roman"/>
                <w:sz w:val="24"/>
                <w:szCs w:val="24"/>
                <w:lang w:val="lv-LV"/>
              </w:rPr>
              <w:t xml:space="preserve"> </w:t>
            </w:r>
            <w:r w:rsidR="005B57C2" w:rsidRPr="00956950">
              <w:rPr>
                <w:rFonts w:ascii="Times New Roman" w:hAnsi="Times New Roman"/>
                <w:sz w:val="24"/>
                <w:szCs w:val="24"/>
                <w:lang w:val="lv-LV"/>
              </w:rPr>
              <w:t>īstenošanā, darbinieku izraudzīšanā, finanšu, saimnieciskajā un citā darbībā saskaņā ar šo likumu, citiem likumiem un normatīvajiem aktiem un izglītības iestādes nolikumu vai satversmi.</w:t>
            </w:r>
            <w:r w:rsidR="00700EBD" w:rsidRPr="00956950">
              <w:rPr>
                <w:rFonts w:ascii="Times New Roman" w:hAnsi="Times New Roman"/>
                <w:sz w:val="24"/>
                <w:szCs w:val="24"/>
                <w:lang w:val="lv-LV"/>
              </w:rPr>
              <w:t xml:space="preserve"> Izglītības iestādei ir j</w:t>
            </w:r>
            <w:r w:rsidR="00A07B7E" w:rsidRPr="00956950">
              <w:rPr>
                <w:rFonts w:ascii="Times New Roman" w:hAnsi="Times New Roman"/>
                <w:sz w:val="24"/>
                <w:szCs w:val="24"/>
                <w:lang w:val="lv-LV"/>
              </w:rPr>
              <w:t>āo</w:t>
            </w:r>
            <w:r w:rsidR="00700EBD" w:rsidRPr="00956950">
              <w:rPr>
                <w:rFonts w:ascii="Times New Roman" w:hAnsi="Times New Roman"/>
                <w:sz w:val="24"/>
                <w:szCs w:val="24"/>
                <w:lang w:val="lv-LV"/>
              </w:rPr>
              <w:t xml:space="preserve">rganizē darbs tā, lai nodrošinātu licencēto programmu īstenošanu. </w:t>
            </w:r>
            <w:r w:rsidR="00B36E59" w:rsidRPr="00956950">
              <w:rPr>
                <w:rFonts w:ascii="Times New Roman" w:hAnsi="Times New Roman"/>
                <w:sz w:val="24"/>
                <w:szCs w:val="24"/>
                <w:lang w:val="lv-LV"/>
              </w:rPr>
              <w:t>I</w:t>
            </w:r>
            <w:r w:rsidR="007678C6" w:rsidRPr="00956950">
              <w:rPr>
                <w:rFonts w:ascii="Times New Roman" w:hAnsi="Times New Roman"/>
                <w:sz w:val="24"/>
                <w:szCs w:val="24"/>
                <w:lang w:val="lv-LV"/>
              </w:rPr>
              <w:t xml:space="preserve">zglītības iestādes vadītājs savu pilnvaru ietvaros patstāvīgi lemj </w:t>
            </w:r>
            <w:r w:rsidR="007678C6" w:rsidRPr="00956950">
              <w:rPr>
                <w:rFonts w:ascii="Times New Roman" w:hAnsi="Times New Roman"/>
                <w:sz w:val="24"/>
                <w:szCs w:val="24"/>
                <w:lang w:val="lv-LV"/>
              </w:rPr>
              <w:lastRenderedPageBreak/>
              <w:t>par izglītības iestādes intelektuālo, finanšu un materiālo līdzekļu izmantošanu un nosaka izglītības iestādes darbinieku darba samaksu, kas nav mazāka par Ministru kabineta noteikto darba samaksu (30.panta otrā daļa).</w:t>
            </w:r>
            <w:r w:rsidR="0035197F" w:rsidRPr="00956950">
              <w:rPr>
                <w:rFonts w:ascii="Times New Roman" w:hAnsi="Times New Roman"/>
                <w:sz w:val="24"/>
                <w:szCs w:val="24"/>
                <w:lang w:val="lv-LV"/>
              </w:rPr>
              <w:t xml:space="preserve"> Izglītības iestādes vadītājs var īstenot elastīgu pieeju, plānojot pedagogu atvaļinājumu grafiku. </w:t>
            </w:r>
          </w:p>
          <w:p w:rsidR="0000683F" w:rsidRPr="00956950" w:rsidRDefault="0000683F" w:rsidP="00F44916">
            <w:pPr>
              <w:pStyle w:val="NoSpacing"/>
              <w:ind w:firstLine="459"/>
              <w:jc w:val="both"/>
              <w:rPr>
                <w:rFonts w:ascii="Times New Roman" w:hAnsi="Times New Roman"/>
                <w:sz w:val="24"/>
                <w:szCs w:val="24"/>
                <w:lang w:val="lv-LV"/>
              </w:rPr>
            </w:pPr>
            <w:r w:rsidRPr="00956950">
              <w:rPr>
                <w:rFonts w:ascii="Times New Roman" w:hAnsi="Times New Roman"/>
                <w:sz w:val="24"/>
                <w:szCs w:val="24"/>
                <w:lang w:val="lv-LV"/>
              </w:rPr>
              <w:t>Saskaņā ar Ministru kabineta 2016. gada 5.jūlija noteikumu Nr.445 “Pedagogu darba samaksas noteikumi” 3.pielikuma 1.punktu darba slodze profesionālās izglītības pedagogiem</w:t>
            </w:r>
            <w:r w:rsidR="0035197F" w:rsidRPr="00956950">
              <w:rPr>
                <w:rFonts w:ascii="Times New Roman" w:hAnsi="Times New Roman"/>
                <w:sz w:val="24"/>
                <w:szCs w:val="24"/>
                <w:lang w:val="lv-LV"/>
              </w:rPr>
              <w:t xml:space="preserve">, kas </w:t>
            </w:r>
            <w:r w:rsidRPr="00956950">
              <w:rPr>
                <w:rFonts w:ascii="Times New Roman" w:hAnsi="Times New Roman"/>
                <w:sz w:val="24"/>
                <w:szCs w:val="24"/>
                <w:lang w:val="lv-LV"/>
              </w:rPr>
              <w:t xml:space="preserve"> atbilst mēne</w:t>
            </w:r>
            <w:r w:rsidR="0035197F" w:rsidRPr="00956950">
              <w:rPr>
                <w:rFonts w:ascii="Times New Roman" w:hAnsi="Times New Roman"/>
                <w:sz w:val="24"/>
                <w:szCs w:val="24"/>
                <w:lang w:val="lv-LV"/>
              </w:rPr>
              <w:t xml:space="preserve">ša  darba slodzes likmei, </w:t>
            </w:r>
            <w:r w:rsidRPr="00956950">
              <w:rPr>
                <w:rFonts w:ascii="Times New Roman" w:hAnsi="Times New Roman"/>
                <w:sz w:val="24"/>
                <w:szCs w:val="24"/>
                <w:lang w:val="lv-LV"/>
              </w:rPr>
              <w:t xml:space="preserve">ir 1320 darba stundas gadā. Savukārt minēto noteikumu 34.punkts nosaka, ka “pedagoga darba slodze – kopējais tarificēto stundu skaits nedēļā – nedrīkst pārsniegt </w:t>
            </w:r>
            <w:hyperlink r:id="rId8" w:tgtFrame="_blank" w:history="1">
              <w:r w:rsidRPr="00956950">
                <w:rPr>
                  <w:rFonts w:ascii="Times New Roman" w:hAnsi="Times New Roman"/>
                  <w:sz w:val="24"/>
                  <w:szCs w:val="24"/>
                  <w:lang w:val="lv-LV"/>
                </w:rPr>
                <w:t>Darba likumā</w:t>
              </w:r>
            </w:hyperlink>
            <w:r w:rsidRPr="00956950">
              <w:rPr>
                <w:rFonts w:ascii="Times New Roman" w:hAnsi="Times New Roman"/>
                <w:sz w:val="24"/>
                <w:szCs w:val="24"/>
                <w:lang w:val="lv-LV"/>
              </w:rPr>
              <w:t xml:space="preserve"> noteikto normālo nedēļas darba laiku – 40 stundas nedēļā, neskaitot promesoša pedagoga aizvietošanu”</w:t>
            </w:r>
            <w:r w:rsidR="0035197F" w:rsidRPr="00956950">
              <w:rPr>
                <w:rFonts w:ascii="Times New Roman" w:hAnsi="Times New Roman"/>
                <w:sz w:val="24"/>
                <w:szCs w:val="24"/>
                <w:lang w:val="lv-LV"/>
              </w:rPr>
              <w:t>, tas ir, 1760 stundas gadā</w:t>
            </w:r>
            <w:r w:rsidRPr="00956950">
              <w:rPr>
                <w:rFonts w:ascii="Times New Roman" w:hAnsi="Times New Roman"/>
                <w:sz w:val="24"/>
                <w:szCs w:val="24"/>
                <w:lang w:val="lv-LV"/>
              </w:rPr>
              <w:t>.</w:t>
            </w:r>
          </w:p>
          <w:p w:rsidR="0000683F" w:rsidRPr="00956950" w:rsidRDefault="00622CB1" w:rsidP="00F44916">
            <w:pPr>
              <w:pStyle w:val="NoSpacing"/>
              <w:ind w:firstLine="459"/>
              <w:jc w:val="both"/>
              <w:rPr>
                <w:rFonts w:ascii="Times New Roman" w:hAnsi="Times New Roman"/>
                <w:sz w:val="24"/>
                <w:szCs w:val="24"/>
                <w:lang w:val="lv-LV"/>
              </w:rPr>
            </w:pPr>
            <w:r w:rsidRPr="00956950">
              <w:rPr>
                <w:rFonts w:ascii="Times New Roman" w:hAnsi="Times New Roman"/>
                <w:sz w:val="24"/>
                <w:szCs w:val="24"/>
                <w:lang w:val="lv-LV"/>
              </w:rPr>
              <w:t>Valsts izglītības informācijas sistēmā (VIIS) pieejamās informācijas par profesionālās izglītības iestāžu pedagogu tarifikāciju analīze liecina, ka tikai neliela daļa no profesionālās izglītības iestāžu pedagogiem ir tarific</w:t>
            </w:r>
            <w:r w:rsidR="0035197F" w:rsidRPr="00956950">
              <w:rPr>
                <w:rFonts w:ascii="Times New Roman" w:hAnsi="Times New Roman"/>
                <w:sz w:val="24"/>
                <w:szCs w:val="24"/>
                <w:lang w:val="lv-LV"/>
              </w:rPr>
              <w:t>ēta ar darba slodzi, kas tu</w:t>
            </w:r>
            <w:r w:rsidRPr="00956950">
              <w:rPr>
                <w:rFonts w:ascii="Times New Roman" w:hAnsi="Times New Roman"/>
                <w:sz w:val="24"/>
                <w:szCs w:val="24"/>
                <w:lang w:val="lv-LV"/>
              </w:rPr>
              <w:t xml:space="preserve">va normālajam darba laikam. </w:t>
            </w:r>
          </w:p>
          <w:p w:rsidR="00622CB1" w:rsidRPr="00956950" w:rsidRDefault="00622CB1" w:rsidP="00F44916">
            <w:pPr>
              <w:pStyle w:val="NoSpacing"/>
              <w:ind w:firstLine="459"/>
              <w:jc w:val="both"/>
              <w:rPr>
                <w:rFonts w:ascii="Times New Roman" w:hAnsi="Times New Roman"/>
                <w:sz w:val="24"/>
                <w:szCs w:val="24"/>
                <w:lang w:val="lv-LV"/>
              </w:rPr>
            </w:pPr>
            <w:r w:rsidRPr="00956950">
              <w:rPr>
                <w:rFonts w:ascii="Times New Roman" w:hAnsi="Times New Roman"/>
                <w:sz w:val="24"/>
                <w:szCs w:val="24"/>
                <w:lang w:val="lv-LV"/>
              </w:rPr>
              <w:t xml:space="preserve">Minētā normatīvā regulējuma un datu analīze liecina, </w:t>
            </w:r>
            <w:r w:rsidR="00212089" w:rsidRPr="00956950">
              <w:rPr>
                <w:rFonts w:ascii="Times New Roman" w:hAnsi="Times New Roman"/>
                <w:sz w:val="24"/>
                <w:szCs w:val="24"/>
                <w:lang w:val="lv-LV"/>
              </w:rPr>
              <w:t xml:space="preserve">ka </w:t>
            </w:r>
            <w:r w:rsidR="0035197F" w:rsidRPr="00956950">
              <w:rPr>
                <w:rFonts w:ascii="Times New Roman" w:hAnsi="Times New Roman"/>
                <w:sz w:val="24"/>
                <w:szCs w:val="24"/>
                <w:lang w:val="lv-LV"/>
              </w:rPr>
              <w:t xml:space="preserve">pedagogu </w:t>
            </w:r>
            <w:r w:rsidR="00212089" w:rsidRPr="00956950">
              <w:rPr>
                <w:rFonts w:ascii="Times New Roman" w:hAnsi="Times New Roman"/>
                <w:sz w:val="24"/>
                <w:szCs w:val="24"/>
                <w:lang w:val="lv-LV"/>
              </w:rPr>
              <w:t>darba samaksas noteikumi nerada šķēršļus profesionālās izglītības iestādēm organizēt mācības 12 mēnešus gadā.</w:t>
            </w:r>
          </w:p>
          <w:p w:rsidR="00622CB1" w:rsidRPr="00956950" w:rsidRDefault="00622CB1" w:rsidP="00212089">
            <w:pPr>
              <w:pStyle w:val="NoSpacing"/>
              <w:ind w:firstLine="459"/>
              <w:jc w:val="both"/>
              <w:rPr>
                <w:rFonts w:ascii="Times New Roman" w:hAnsi="Times New Roman"/>
                <w:sz w:val="24"/>
                <w:szCs w:val="24"/>
                <w:lang w:val="lv-LV"/>
              </w:rPr>
            </w:pPr>
            <w:r w:rsidRPr="00956950">
              <w:rPr>
                <w:rFonts w:ascii="Times New Roman" w:hAnsi="Times New Roman"/>
                <w:sz w:val="24"/>
                <w:szCs w:val="24"/>
                <w:lang w:val="lv-LV"/>
              </w:rPr>
              <w:t xml:space="preserve">Līdz 2017.gada 31.decembrim plānots izstrādāt grozījumus Ministru kabineta 2014.gada 28.oktobra noteikumos Nr. 662 “Noteikumi par pedagogiem nepieciešamo izglītību un profesionālo kvalifikāciju un pedagogu profesionālās kompetences pilnveides kārtību“. Šajos grozījumos ir paredzēts nodrošināt iespēju iesaistīt </w:t>
            </w:r>
            <w:r w:rsidR="0035197F" w:rsidRPr="00956950">
              <w:rPr>
                <w:rFonts w:ascii="Times New Roman" w:hAnsi="Times New Roman"/>
                <w:sz w:val="24"/>
                <w:szCs w:val="24"/>
                <w:lang w:val="lv-LV"/>
              </w:rPr>
              <w:t xml:space="preserve">nozaru speciālistus </w:t>
            </w:r>
            <w:r w:rsidRPr="00956950">
              <w:rPr>
                <w:rFonts w:ascii="Times New Roman" w:hAnsi="Times New Roman"/>
                <w:sz w:val="24"/>
                <w:szCs w:val="24"/>
                <w:lang w:val="lv-LV"/>
              </w:rPr>
              <w:t>profesionālās izglītības īstenošanā.</w:t>
            </w:r>
          </w:p>
          <w:p w:rsidR="00700EBD" w:rsidRPr="00956950" w:rsidRDefault="00700EBD" w:rsidP="00F44916">
            <w:pPr>
              <w:pStyle w:val="NoSpacing"/>
              <w:ind w:firstLine="459"/>
              <w:jc w:val="both"/>
              <w:rPr>
                <w:rFonts w:ascii="Times New Roman" w:eastAsiaTheme="minorEastAsia" w:hAnsi="Times New Roman"/>
                <w:kern w:val="24"/>
                <w:sz w:val="24"/>
                <w:szCs w:val="24"/>
                <w:lang w:val="lv-LV"/>
              </w:rPr>
            </w:pPr>
            <w:r w:rsidRPr="00956950">
              <w:rPr>
                <w:rFonts w:ascii="Times New Roman" w:hAnsi="Times New Roman"/>
                <w:sz w:val="24"/>
                <w:szCs w:val="24"/>
                <w:lang w:val="lv-LV"/>
              </w:rPr>
              <w:t xml:space="preserve">Pieaugušo izglītībā </w:t>
            </w:r>
            <w:r w:rsidRPr="00956950">
              <w:rPr>
                <w:rFonts w:ascii="Times New Roman" w:eastAsiaTheme="minorEastAsia" w:hAnsi="Times New Roman"/>
                <w:kern w:val="24"/>
                <w:sz w:val="24"/>
                <w:szCs w:val="24"/>
                <w:lang w:val="lv-LV"/>
              </w:rPr>
              <w:t xml:space="preserve">tiek izmantotas visdažādākās metodes, formas un veidi: veidotas atsevišķas pieaugušo izglītojamo grupas, jauktas grupas − pieaugušie iesaistās mācību darbā sākotnējās profesionālās izglītības audzēkņu grupās atsevišķu moduļu/kursu apguvei −, tiek izmantotas patstāvīgā darba metodes, izmantotas attālināto mācību iespējas. Mācības notiek izglītības iestādē, darba vietā vai uzņēmuma mācību telpā. Nozaru speciālisti kā mācībspēki tiek iesaistīti </w:t>
            </w:r>
            <w:r w:rsidR="0035197F" w:rsidRPr="00956950">
              <w:rPr>
                <w:rFonts w:ascii="Times New Roman" w:eastAsiaTheme="minorEastAsia" w:hAnsi="Times New Roman"/>
                <w:kern w:val="24"/>
                <w:sz w:val="24"/>
                <w:szCs w:val="24"/>
                <w:lang w:val="lv-LV"/>
              </w:rPr>
              <w:t>izglītības procesa īstenošanā</w:t>
            </w:r>
            <w:r w:rsidRPr="00956950">
              <w:rPr>
                <w:rFonts w:ascii="Times New Roman" w:eastAsiaTheme="minorEastAsia" w:hAnsi="Times New Roman"/>
                <w:kern w:val="24"/>
                <w:sz w:val="24"/>
                <w:szCs w:val="24"/>
                <w:lang w:val="lv-LV"/>
              </w:rPr>
              <w:t>. Izmantojot visas iespējas pieaugušo izglītības elastības veicināšanai, profesionālās izglītības iestādēm nav šķēršļu organizēt darbu 12 mēnešus gadā.</w:t>
            </w:r>
          </w:p>
          <w:p w:rsidR="00A07B7E" w:rsidRPr="00956950" w:rsidRDefault="00700EBD" w:rsidP="00A07B7E">
            <w:pPr>
              <w:spacing w:after="0" w:line="240" w:lineRule="auto"/>
              <w:ind w:firstLine="720"/>
              <w:jc w:val="both"/>
              <w:rPr>
                <w:rFonts w:ascii="Times New Roman" w:hAnsi="Times New Roman"/>
                <w:sz w:val="24"/>
                <w:szCs w:val="24"/>
                <w:lang w:val="lv-LV"/>
              </w:rPr>
            </w:pPr>
            <w:r w:rsidRPr="00956950">
              <w:rPr>
                <w:rFonts w:ascii="Times New Roman" w:hAnsi="Times New Roman"/>
                <w:sz w:val="24"/>
                <w:szCs w:val="24"/>
                <w:lang w:val="lv-LV"/>
              </w:rPr>
              <w:t>Ministrija sadarbībā ar Izglītības kvalitātes valsts dienestu ir izvērtējusi iespēju</w:t>
            </w:r>
            <w:r w:rsidR="00F32BB0" w:rsidRPr="00956950">
              <w:rPr>
                <w:rFonts w:ascii="Times New Roman" w:hAnsi="Times New Roman"/>
                <w:sz w:val="24"/>
                <w:szCs w:val="24"/>
                <w:lang w:val="lv-LV"/>
              </w:rPr>
              <w:t xml:space="preserve"> vienkāršot privātajam sektoram paredzēto valsts profesionālās izglītības iestāžu </w:t>
            </w:r>
            <w:r w:rsidR="00F32BB0" w:rsidRPr="00956950">
              <w:rPr>
                <w:rFonts w:ascii="Times New Roman" w:hAnsi="Times New Roman"/>
                <w:sz w:val="24"/>
                <w:szCs w:val="24"/>
                <w:lang w:val="lv-LV"/>
              </w:rPr>
              <w:lastRenderedPageBreak/>
              <w:t xml:space="preserve">izglītības programmu saskaņošanu </w:t>
            </w:r>
            <w:r w:rsidR="00E15E4F" w:rsidRPr="00956950">
              <w:rPr>
                <w:rFonts w:ascii="Times New Roman" w:hAnsi="Times New Roman"/>
                <w:sz w:val="24"/>
                <w:szCs w:val="24"/>
                <w:lang w:val="lv-LV"/>
              </w:rPr>
              <w:t>(</w:t>
            </w:r>
            <w:r w:rsidR="00E15E4F" w:rsidRPr="00956950">
              <w:rPr>
                <w:rFonts w:ascii="Times New Roman" w:hAnsi="Times New Roman"/>
                <w:sz w:val="24"/>
                <w:szCs w:val="24"/>
                <w:lang w:val="lv-LV" w:eastAsia="lv-LV"/>
              </w:rPr>
              <w:t xml:space="preserve">Ministru kabineta 2017. </w:t>
            </w:r>
            <w:r w:rsidR="00E15E4F" w:rsidRPr="00956950">
              <w:rPr>
                <w:rFonts w:ascii="Times New Roman" w:hAnsi="Times New Roman"/>
                <w:sz w:val="24"/>
                <w:szCs w:val="24"/>
                <w:lang w:val="lv-LV"/>
              </w:rPr>
              <w:t>gada 21. marta  sēdes protokols Nr. 14 31.§ 3.1.2. apakšpunkts)</w:t>
            </w:r>
            <w:r w:rsidR="003431E9" w:rsidRPr="00956950">
              <w:rPr>
                <w:rFonts w:ascii="Times New Roman" w:hAnsi="Times New Roman"/>
                <w:sz w:val="24"/>
                <w:szCs w:val="24"/>
                <w:lang w:val="lv-LV"/>
              </w:rPr>
              <w:t>.</w:t>
            </w:r>
            <w:r w:rsidR="00E15E4F" w:rsidRPr="00956950">
              <w:rPr>
                <w:rFonts w:ascii="Times New Roman" w:hAnsi="Times New Roman"/>
                <w:sz w:val="24"/>
                <w:szCs w:val="24"/>
                <w:lang w:val="lv-LV"/>
              </w:rPr>
              <w:t xml:space="preserve"> </w:t>
            </w:r>
            <w:r w:rsidR="00F32BB0" w:rsidRPr="00956950">
              <w:rPr>
                <w:rFonts w:ascii="Times New Roman" w:hAnsi="Times New Roman"/>
                <w:sz w:val="24"/>
                <w:szCs w:val="24"/>
                <w:lang w:val="lv-LV"/>
              </w:rPr>
              <w:t>Profesionālās izglītības programmu licencēšanas kārtība noteikta Ministru kabineta 2009. gada 14. jūlija noteikumos Nr. 775 “Vispārējās un profesionālās izglītības programmu licencēšanas kārtība”. Ņemot vērā vienlīdzīgas konkurences apsvērumus, licencēšanas kārtība ir identiska gan valsts, gan pašvaldību, gan privātpersonu dibinātajām izglītības iestādēm. Izglītības kvalitātes</w:t>
            </w:r>
            <w:r w:rsidR="00A07B7E" w:rsidRPr="00956950">
              <w:rPr>
                <w:rFonts w:ascii="Times New Roman" w:hAnsi="Times New Roman"/>
                <w:sz w:val="24"/>
                <w:szCs w:val="24"/>
                <w:lang w:val="lv-LV"/>
              </w:rPr>
              <w:t xml:space="preserve"> valsts dienests  ir vienkāršojis</w:t>
            </w:r>
            <w:r w:rsidR="005D1088" w:rsidRPr="00956950">
              <w:rPr>
                <w:rFonts w:ascii="Times New Roman" w:hAnsi="Times New Roman"/>
                <w:sz w:val="24"/>
                <w:szCs w:val="24"/>
                <w:lang w:val="lv-LV"/>
              </w:rPr>
              <w:t xml:space="preserve"> licencēšanas </w:t>
            </w:r>
            <w:r w:rsidR="00F32BB0" w:rsidRPr="00956950">
              <w:rPr>
                <w:rFonts w:ascii="Times New Roman" w:hAnsi="Times New Roman"/>
                <w:sz w:val="24"/>
                <w:szCs w:val="24"/>
                <w:lang w:val="lv-LV"/>
              </w:rPr>
              <w:t>procedūras, izglītības iestādēm nodrošinot izglītības programmu iesniegšanu licencēšanai elektroniski, lai šādā veidā saīsinātu dokumentu aprites laiku, kā arī vienkāršotu izglītības iestādes informēšanu par izglītības programmās veicamajām korekcijām.</w:t>
            </w:r>
          </w:p>
          <w:p w:rsidR="00A07B7E" w:rsidRPr="00956950" w:rsidRDefault="00A07B7E" w:rsidP="00A07B7E">
            <w:pPr>
              <w:spacing w:after="0" w:line="240" w:lineRule="auto"/>
              <w:ind w:firstLine="720"/>
              <w:jc w:val="both"/>
              <w:rPr>
                <w:rFonts w:ascii="Times New Roman" w:hAnsi="Times New Roman"/>
                <w:sz w:val="24"/>
                <w:szCs w:val="24"/>
                <w:lang w:val="lv-LV"/>
              </w:rPr>
            </w:pPr>
            <w:r w:rsidRPr="00956950">
              <w:rPr>
                <w:rFonts w:ascii="Times New Roman" w:eastAsiaTheme="minorEastAsia" w:hAnsi="Times New Roman"/>
                <w:kern w:val="24"/>
                <w:sz w:val="24"/>
                <w:szCs w:val="24"/>
                <w:lang w:val="lv-LV" w:eastAsia="lv-LV"/>
              </w:rPr>
              <w:t>Izglītības iestādei ir tiesības  īstenot izglītības iestādes vadītāja apstiprinātas pieaugušo neformālās izglītības programmas bez licences saņemšanas, bet citas juridiskās un fiziskās personas, kas nav reģistrētas Izglītības iestāžu reģistrā,  − pēc licences saņemšanas pašvaldībā.</w:t>
            </w:r>
          </w:p>
          <w:p w:rsidR="00212089" w:rsidRPr="00956950" w:rsidRDefault="00A07B7E" w:rsidP="005D1088">
            <w:pPr>
              <w:spacing w:after="0" w:line="240" w:lineRule="auto"/>
              <w:ind w:firstLine="720"/>
              <w:jc w:val="both"/>
              <w:rPr>
                <w:rFonts w:ascii="Times New Roman" w:hAnsi="Times New Roman"/>
                <w:sz w:val="24"/>
                <w:szCs w:val="24"/>
                <w:lang w:val="lv-LV"/>
              </w:rPr>
            </w:pPr>
            <w:r w:rsidRPr="00956950">
              <w:rPr>
                <w:rFonts w:ascii="Times New Roman" w:hAnsi="Times New Roman"/>
                <w:sz w:val="24"/>
                <w:szCs w:val="24"/>
                <w:lang w:val="lv-LV"/>
              </w:rPr>
              <w:t xml:space="preserve">Modulāro profesionālās izglītības programmu īstenošana profesionālajā tālākizglītībā un atsevišķu moduļu īstenošana  profesionālās pilnveides programmās nodrošina paraugu, kura izmantošana atvieglina un paātrina programmu izstrādes un pārbaudes gaitu. </w:t>
            </w:r>
            <w:r w:rsidR="00212089" w:rsidRPr="00956950">
              <w:rPr>
                <w:rFonts w:ascii="Times New Roman" w:hAnsi="Times New Roman"/>
                <w:sz w:val="24"/>
                <w:szCs w:val="24"/>
                <w:lang w:val="lv-LV"/>
              </w:rPr>
              <w:t xml:space="preserve">  </w:t>
            </w:r>
          </w:p>
          <w:p w:rsidR="004111E5" w:rsidRPr="00956950" w:rsidRDefault="00212089" w:rsidP="005D1088">
            <w:pPr>
              <w:spacing w:after="0" w:line="240" w:lineRule="auto"/>
              <w:ind w:firstLine="720"/>
              <w:jc w:val="both"/>
              <w:rPr>
                <w:rFonts w:ascii="Times New Roman" w:hAnsi="Times New Roman"/>
                <w:sz w:val="24"/>
                <w:szCs w:val="24"/>
                <w:lang w:val="lv-LV"/>
              </w:rPr>
            </w:pPr>
            <w:r w:rsidRPr="00956950">
              <w:rPr>
                <w:rFonts w:ascii="Times New Roman" w:hAnsi="Times New Roman"/>
                <w:sz w:val="24"/>
                <w:szCs w:val="24"/>
                <w:lang w:val="lv-LV"/>
              </w:rPr>
              <w:t>Īstenojot modulār</w:t>
            </w:r>
            <w:r w:rsidR="00C05C94" w:rsidRPr="00956950">
              <w:rPr>
                <w:rFonts w:ascii="Times New Roman" w:hAnsi="Times New Roman"/>
                <w:sz w:val="24"/>
                <w:szCs w:val="24"/>
                <w:lang w:val="lv-LV"/>
              </w:rPr>
              <w:t xml:space="preserve">ās </w:t>
            </w:r>
            <w:r w:rsidRPr="00956950">
              <w:rPr>
                <w:rFonts w:ascii="Times New Roman" w:hAnsi="Times New Roman"/>
                <w:sz w:val="24"/>
                <w:szCs w:val="24"/>
                <w:lang w:val="lv-LV"/>
              </w:rPr>
              <w:t>profesionālās izglītības programmas pieaugušo izglītībā, ir iespējams teoriju apgūt izglītības iestādē, bet praksi uzņēmumā.</w:t>
            </w:r>
          </w:p>
          <w:p w:rsidR="005D1088" w:rsidRPr="00956950" w:rsidRDefault="005D1088" w:rsidP="00307F6A">
            <w:pPr>
              <w:spacing w:after="0" w:line="240" w:lineRule="auto"/>
              <w:ind w:firstLine="720"/>
              <w:jc w:val="both"/>
              <w:rPr>
                <w:rFonts w:ascii="Times New Roman" w:hAnsi="Times New Roman"/>
                <w:sz w:val="24"/>
                <w:szCs w:val="24"/>
                <w:lang w:val="lv-LV"/>
              </w:rPr>
            </w:pPr>
            <w:r w:rsidRPr="00956950">
              <w:rPr>
                <w:rFonts w:ascii="Times New Roman" w:hAnsi="Times New Roman"/>
                <w:sz w:val="24"/>
                <w:szCs w:val="24"/>
                <w:lang w:val="lv-LV"/>
              </w:rPr>
              <w:t>Lai nodrošinātu vienlīdzīgu attieksmi, kvalitāti, īstenojot vienādas izglītības programmas, ministrija iesaka neveidot atsevišķus noteikumus priv</w:t>
            </w:r>
            <w:r w:rsidR="00307F6A" w:rsidRPr="00956950">
              <w:rPr>
                <w:rFonts w:ascii="Times New Roman" w:hAnsi="Times New Roman"/>
                <w:sz w:val="24"/>
                <w:szCs w:val="24"/>
                <w:lang w:val="lv-LV"/>
              </w:rPr>
              <w:t>ātajam sektoram paredz</w:t>
            </w:r>
            <w:r w:rsidRPr="00956950">
              <w:rPr>
                <w:rFonts w:ascii="Times New Roman" w:hAnsi="Times New Roman"/>
                <w:sz w:val="24"/>
                <w:szCs w:val="24"/>
                <w:lang w:val="lv-LV"/>
              </w:rPr>
              <w:t>ēto valsts profesionālās izglītības iest</w:t>
            </w:r>
            <w:r w:rsidR="00307F6A" w:rsidRPr="00956950">
              <w:rPr>
                <w:rFonts w:ascii="Times New Roman" w:hAnsi="Times New Roman"/>
                <w:sz w:val="24"/>
                <w:szCs w:val="24"/>
                <w:lang w:val="lv-LV"/>
              </w:rPr>
              <w:t>āž</w:t>
            </w:r>
            <w:r w:rsidRPr="00956950">
              <w:rPr>
                <w:rFonts w:ascii="Times New Roman" w:hAnsi="Times New Roman"/>
                <w:sz w:val="24"/>
                <w:szCs w:val="24"/>
                <w:lang w:val="lv-LV"/>
              </w:rPr>
              <w:t>u izglītības programmu saskaņošan</w:t>
            </w:r>
            <w:r w:rsidR="003431E9" w:rsidRPr="00956950">
              <w:rPr>
                <w:rFonts w:ascii="Times New Roman" w:hAnsi="Times New Roman"/>
                <w:sz w:val="24"/>
                <w:szCs w:val="24"/>
                <w:lang w:val="lv-LV"/>
              </w:rPr>
              <w:t>ai</w:t>
            </w:r>
            <w:r w:rsidR="00307F6A" w:rsidRPr="00956950">
              <w:rPr>
                <w:rFonts w:ascii="Times New Roman" w:hAnsi="Times New Roman"/>
                <w:sz w:val="24"/>
                <w:szCs w:val="24"/>
                <w:lang w:val="lv-LV"/>
              </w:rPr>
              <w:t>.</w:t>
            </w:r>
          </w:p>
          <w:p w:rsidR="00E15E4F" w:rsidRPr="00956950" w:rsidRDefault="00E15E4F" w:rsidP="00DB392E">
            <w:pPr>
              <w:spacing w:after="0" w:line="240" w:lineRule="auto"/>
              <w:ind w:firstLine="720"/>
              <w:jc w:val="both"/>
              <w:rPr>
                <w:rFonts w:ascii="Times New Roman" w:eastAsia="Times New Roman" w:hAnsi="Times New Roman"/>
                <w:sz w:val="24"/>
                <w:szCs w:val="24"/>
                <w:lang w:val="lv-LV"/>
              </w:rPr>
            </w:pPr>
            <w:r w:rsidRPr="00956950">
              <w:rPr>
                <w:rFonts w:ascii="Times New Roman" w:hAnsi="Times New Roman"/>
                <w:sz w:val="24"/>
                <w:szCs w:val="24"/>
                <w:lang w:val="lv-LV"/>
              </w:rPr>
              <w:t xml:space="preserve">Ievērojot minēto informāciju, </w:t>
            </w:r>
            <w:r w:rsidR="00DB392E" w:rsidRPr="00956950">
              <w:rPr>
                <w:rFonts w:ascii="Times New Roman" w:hAnsi="Times New Roman"/>
                <w:sz w:val="24"/>
                <w:szCs w:val="24"/>
                <w:lang w:val="lv-LV"/>
              </w:rPr>
              <w:t xml:space="preserve">ministrija lūdz </w:t>
            </w:r>
            <w:r w:rsidRPr="00956950">
              <w:rPr>
                <w:rFonts w:ascii="Times New Roman" w:hAnsi="Times New Roman"/>
                <w:sz w:val="24"/>
                <w:szCs w:val="24"/>
                <w:lang w:val="lv-LV"/>
              </w:rPr>
              <w:t xml:space="preserve">atzīt </w:t>
            </w:r>
            <w:r w:rsidRPr="00956950">
              <w:rPr>
                <w:rFonts w:ascii="Times New Roman" w:hAnsi="Times New Roman"/>
                <w:sz w:val="24"/>
                <w:szCs w:val="24"/>
                <w:lang w:val="lv-LV" w:eastAsia="lv-LV"/>
              </w:rPr>
              <w:t xml:space="preserve">Ministru kabineta 2017. </w:t>
            </w:r>
            <w:r w:rsidRPr="00956950">
              <w:rPr>
                <w:rFonts w:ascii="Times New Roman" w:hAnsi="Times New Roman"/>
                <w:sz w:val="24"/>
                <w:szCs w:val="24"/>
                <w:lang w:val="lv-LV"/>
              </w:rPr>
              <w:t xml:space="preserve">gada 21. marta  sēdes </w:t>
            </w:r>
            <w:proofErr w:type="spellStart"/>
            <w:r w:rsidRPr="00956950">
              <w:rPr>
                <w:rFonts w:ascii="Times New Roman" w:hAnsi="Times New Roman"/>
                <w:sz w:val="24"/>
                <w:szCs w:val="24"/>
                <w:lang w:val="lv-LV"/>
              </w:rPr>
              <w:t>protokollēmuma</w:t>
            </w:r>
            <w:proofErr w:type="spellEnd"/>
            <w:r w:rsidRPr="00956950">
              <w:rPr>
                <w:rFonts w:ascii="Times New Roman" w:hAnsi="Times New Roman"/>
                <w:sz w:val="24"/>
                <w:szCs w:val="24"/>
                <w:lang w:val="lv-LV"/>
              </w:rPr>
              <w:t xml:space="preserve">  (prot. Nr. 14 31.§) “Informatīvais ziņojums “Par Nodarbinātības padomes ietvaros identificēto pasākumu kopumu un to izpildes termiņiem”” 3.1.1. un 3.1.2 apakšpunktā dotos uzdevumus par izpildītiem.  </w:t>
            </w:r>
          </w:p>
        </w:tc>
      </w:tr>
      <w:tr w:rsidR="00C05C94" w:rsidRPr="00956950" w:rsidTr="00692C53">
        <w:trPr>
          <w:jc w:val="center"/>
        </w:trPr>
        <w:tc>
          <w:tcPr>
            <w:tcW w:w="735" w:type="dxa"/>
            <w:tcBorders>
              <w:top w:val="single" w:sz="4" w:space="0" w:color="auto"/>
            </w:tcBorders>
          </w:tcPr>
          <w:p w:rsidR="004111E5" w:rsidRPr="00956950" w:rsidRDefault="004111E5" w:rsidP="00692C53">
            <w:pPr>
              <w:spacing w:after="0" w:line="240" w:lineRule="auto"/>
              <w:jc w:val="center"/>
              <w:rPr>
                <w:rFonts w:ascii="Times New Roman" w:hAnsi="Times New Roman"/>
                <w:sz w:val="24"/>
                <w:szCs w:val="24"/>
                <w:lang w:val="lv-LV"/>
              </w:rPr>
            </w:pPr>
            <w:r w:rsidRPr="00956950">
              <w:rPr>
                <w:rFonts w:ascii="Times New Roman" w:hAnsi="Times New Roman"/>
                <w:sz w:val="24"/>
                <w:szCs w:val="24"/>
                <w:lang w:val="lv-LV"/>
              </w:rPr>
              <w:lastRenderedPageBreak/>
              <w:br w:type="page"/>
              <w:t>2.</w:t>
            </w:r>
          </w:p>
        </w:tc>
        <w:tc>
          <w:tcPr>
            <w:tcW w:w="2804" w:type="dxa"/>
            <w:tcBorders>
              <w:top w:val="single" w:sz="4" w:space="0" w:color="auto"/>
            </w:tcBorders>
          </w:tcPr>
          <w:p w:rsidR="004111E5" w:rsidRPr="00956950" w:rsidRDefault="004111E5" w:rsidP="00692C53">
            <w:pPr>
              <w:spacing w:after="0" w:line="240" w:lineRule="auto"/>
              <w:rPr>
                <w:rFonts w:ascii="Times New Roman" w:hAnsi="Times New Roman"/>
                <w:sz w:val="24"/>
                <w:szCs w:val="24"/>
                <w:lang w:val="lv-LV"/>
              </w:rPr>
            </w:pPr>
            <w:r w:rsidRPr="00956950">
              <w:rPr>
                <w:rFonts w:ascii="Times New Roman" w:hAnsi="Times New Roman"/>
                <w:sz w:val="24"/>
                <w:szCs w:val="24"/>
                <w:lang w:val="lv-LV"/>
              </w:rPr>
              <w:t>Valsts sekretāru sanāksmes datums un numurs</w:t>
            </w:r>
          </w:p>
        </w:tc>
        <w:tc>
          <w:tcPr>
            <w:tcW w:w="5670" w:type="dxa"/>
            <w:tcBorders>
              <w:top w:val="single" w:sz="4" w:space="0" w:color="auto"/>
            </w:tcBorders>
          </w:tcPr>
          <w:p w:rsidR="004111E5" w:rsidRPr="00956950" w:rsidRDefault="004111E5" w:rsidP="00692C53">
            <w:pPr>
              <w:spacing w:after="0" w:line="240" w:lineRule="auto"/>
              <w:ind w:left="36" w:right="24"/>
              <w:jc w:val="both"/>
              <w:rPr>
                <w:rFonts w:ascii="Times New Roman" w:hAnsi="Times New Roman"/>
                <w:sz w:val="24"/>
                <w:szCs w:val="24"/>
                <w:lang w:val="lv-LV"/>
              </w:rPr>
            </w:pPr>
            <w:r w:rsidRPr="00956950">
              <w:rPr>
                <w:rFonts w:ascii="Times New Roman" w:hAnsi="Times New Roman"/>
                <w:sz w:val="24"/>
                <w:szCs w:val="24"/>
                <w:lang w:val="lv-LV"/>
              </w:rPr>
              <w:t>Nav attiecināms.</w:t>
            </w:r>
          </w:p>
        </w:tc>
      </w:tr>
      <w:tr w:rsidR="00C05C94" w:rsidRPr="00956950" w:rsidTr="00692C53">
        <w:trPr>
          <w:jc w:val="center"/>
        </w:trPr>
        <w:tc>
          <w:tcPr>
            <w:tcW w:w="735" w:type="dxa"/>
          </w:tcPr>
          <w:p w:rsidR="004111E5" w:rsidRPr="00956950" w:rsidRDefault="004111E5" w:rsidP="00692C53">
            <w:pPr>
              <w:spacing w:after="0" w:line="240" w:lineRule="auto"/>
              <w:jc w:val="center"/>
              <w:rPr>
                <w:rFonts w:ascii="Times New Roman" w:hAnsi="Times New Roman"/>
                <w:sz w:val="24"/>
                <w:szCs w:val="24"/>
                <w:lang w:val="lv-LV"/>
              </w:rPr>
            </w:pPr>
            <w:r w:rsidRPr="00956950">
              <w:rPr>
                <w:rFonts w:ascii="Times New Roman" w:hAnsi="Times New Roman"/>
                <w:sz w:val="24"/>
                <w:szCs w:val="24"/>
                <w:lang w:val="lv-LV"/>
              </w:rPr>
              <w:t>3.</w:t>
            </w:r>
          </w:p>
        </w:tc>
        <w:tc>
          <w:tcPr>
            <w:tcW w:w="2804" w:type="dxa"/>
          </w:tcPr>
          <w:p w:rsidR="004111E5" w:rsidRPr="00956950" w:rsidRDefault="004111E5" w:rsidP="00692C53">
            <w:pPr>
              <w:spacing w:after="0" w:line="240" w:lineRule="auto"/>
              <w:rPr>
                <w:rFonts w:ascii="Times New Roman" w:hAnsi="Times New Roman"/>
                <w:sz w:val="24"/>
                <w:szCs w:val="24"/>
                <w:lang w:val="lv-LV"/>
              </w:rPr>
            </w:pPr>
            <w:r w:rsidRPr="00956950">
              <w:rPr>
                <w:rFonts w:ascii="Times New Roman" w:hAnsi="Times New Roman"/>
                <w:sz w:val="24"/>
                <w:szCs w:val="24"/>
                <w:lang w:val="lv-LV"/>
              </w:rPr>
              <w:t>Informācija par saskaņojumiem</w:t>
            </w:r>
          </w:p>
        </w:tc>
        <w:tc>
          <w:tcPr>
            <w:tcW w:w="5670" w:type="dxa"/>
          </w:tcPr>
          <w:p w:rsidR="006230C3" w:rsidRPr="00956950" w:rsidRDefault="0010385B" w:rsidP="0010385B">
            <w:pPr>
              <w:pStyle w:val="NoSpacing"/>
              <w:jc w:val="both"/>
              <w:rPr>
                <w:rFonts w:ascii="Times New Roman" w:hAnsi="Times New Roman"/>
                <w:sz w:val="24"/>
                <w:szCs w:val="24"/>
                <w:lang w:val="lv-LV"/>
              </w:rPr>
            </w:pPr>
            <w:r w:rsidRPr="00956950">
              <w:rPr>
                <w:rFonts w:ascii="Times New Roman" w:hAnsi="Times New Roman"/>
                <w:sz w:val="24"/>
                <w:szCs w:val="24"/>
                <w:lang w:val="lv-LV"/>
              </w:rPr>
              <w:t>Nav attiecināms.</w:t>
            </w:r>
          </w:p>
        </w:tc>
      </w:tr>
      <w:tr w:rsidR="00C05C94" w:rsidRPr="00956950" w:rsidTr="00692C53">
        <w:trPr>
          <w:trHeight w:val="943"/>
          <w:jc w:val="center"/>
        </w:trPr>
        <w:tc>
          <w:tcPr>
            <w:tcW w:w="735" w:type="dxa"/>
          </w:tcPr>
          <w:p w:rsidR="004111E5" w:rsidRPr="00956950" w:rsidRDefault="004111E5" w:rsidP="00692C53">
            <w:pPr>
              <w:spacing w:after="0" w:line="240" w:lineRule="auto"/>
              <w:jc w:val="center"/>
              <w:rPr>
                <w:rFonts w:ascii="Times New Roman" w:hAnsi="Times New Roman"/>
                <w:sz w:val="24"/>
                <w:szCs w:val="24"/>
                <w:lang w:val="lv-LV"/>
              </w:rPr>
            </w:pPr>
            <w:r w:rsidRPr="00956950">
              <w:rPr>
                <w:rFonts w:ascii="Times New Roman" w:hAnsi="Times New Roman"/>
                <w:sz w:val="24"/>
                <w:szCs w:val="24"/>
                <w:lang w:val="lv-LV"/>
              </w:rPr>
              <w:t>4.</w:t>
            </w:r>
          </w:p>
        </w:tc>
        <w:tc>
          <w:tcPr>
            <w:tcW w:w="2804" w:type="dxa"/>
          </w:tcPr>
          <w:p w:rsidR="004111E5" w:rsidRPr="00956950" w:rsidRDefault="004111E5" w:rsidP="00692C53">
            <w:pPr>
              <w:spacing w:after="0" w:line="240" w:lineRule="auto"/>
              <w:contextualSpacing/>
              <w:rPr>
                <w:rFonts w:ascii="Times New Roman" w:hAnsi="Times New Roman"/>
                <w:sz w:val="24"/>
                <w:szCs w:val="24"/>
                <w:lang w:val="lv-LV"/>
              </w:rPr>
            </w:pPr>
            <w:r w:rsidRPr="00956950">
              <w:rPr>
                <w:rFonts w:ascii="Times New Roman" w:hAnsi="Times New Roman"/>
                <w:sz w:val="24"/>
                <w:szCs w:val="24"/>
                <w:lang w:val="lv-LV"/>
              </w:rPr>
              <w:t>Informācija par saskaņojumiem ar Eiropas Savienības institūcijām</w:t>
            </w:r>
          </w:p>
        </w:tc>
        <w:tc>
          <w:tcPr>
            <w:tcW w:w="5670" w:type="dxa"/>
          </w:tcPr>
          <w:p w:rsidR="004111E5" w:rsidRPr="00956950" w:rsidRDefault="0010385B" w:rsidP="00692C53">
            <w:pPr>
              <w:spacing w:after="0" w:line="240" w:lineRule="auto"/>
              <w:ind w:left="70" w:right="24"/>
              <w:rPr>
                <w:rFonts w:ascii="Times New Roman" w:hAnsi="Times New Roman"/>
                <w:iCs/>
                <w:sz w:val="24"/>
                <w:szCs w:val="24"/>
                <w:lang w:val="lv-LV"/>
              </w:rPr>
            </w:pPr>
            <w:r w:rsidRPr="00956950">
              <w:rPr>
                <w:rFonts w:ascii="Times New Roman" w:hAnsi="Times New Roman"/>
                <w:sz w:val="24"/>
                <w:szCs w:val="24"/>
                <w:lang w:val="lv-LV"/>
              </w:rPr>
              <w:t>Nav attiecināms</w:t>
            </w:r>
            <w:r w:rsidR="004111E5" w:rsidRPr="00956950">
              <w:rPr>
                <w:rFonts w:ascii="Times New Roman" w:hAnsi="Times New Roman"/>
                <w:sz w:val="24"/>
                <w:szCs w:val="24"/>
                <w:lang w:val="lv-LV"/>
              </w:rPr>
              <w:t>.</w:t>
            </w:r>
          </w:p>
        </w:tc>
      </w:tr>
      <w:tr w:rsidR="00C05C94" w:rsidRPr="00956950" w:rsidTr="003431E9">
        <w:trPr>
          <w:trHeight w:val="351"/>
          <w:jc w:val="center"/>
        </w:trPr>
        <w:tc>
          <w:tcPr>
            <w:tcW w:w="735" w:type="dxa"/>
          </w:tcPr>
          <w:p w:rsidR="004111E5" w:rsidRPr="00956950" w:rsidRDefault="004111E5" w:rsidP="00692C53">
            <w:pPr>
              <w:spacing w:after="0" w:line="240" w:lineRule="auto"/>
              <w:jc w:val="center"/>
              <w:rPr>
                <w:rFonts w:ascii="Times New Roman" w:hAnsi="Times New Roman"/>
                <w:sz w:val="24"/>
                <w:szCs w:val="24"/>
                <w:lang w:val="lv-LV"/>
              </w:rPr>
            </w:pPr>
            <w:r w:rsidRPr="00956950">
              <w:rPr>
                <w:rFonts w:ascii="Times New Roman" w:hAnsi="Times New Roman"/>
                <w:sz w:val="24"/>
                <w:szCs w:val="24"/>
                <w:lang w:val="lv-LV"/>
              </w:rPr>
              <w:lastRenderedPageBreak/>
              <w:t>5.</w:t>
            </w:r>
          </w:p>
        </w:tc>
        <w:tc>
          <w:tcPr>
            <w:tcW w:w="2804" w:type="dxa"/>
          </w:tcPr>
          <w:p w:rsidR="004111E5" w:rsidRPr="00956950" w:rsidRDefault="004111E5" w:rsidP="00692C53">
            <w:pPr>
              <w:spacing w:after="0" w:line="240" w:lineRule="auto"/>
              <w:rPr>
                <w:rFonts w:ascii="Times New Roman" w:hAnsi="Times New Roman"/>
                <w:sz w:val="24"/>
                <w:szCs w:val="24"/>
                <w:lang w:val="lv-LV"/>
              </w:rPr>
            </w:pPr>
            <w:r w:rsidRPr="00956950">
              <w:rPr>
                <w:rFonts w:ascii="Times New Roman" w:hAnsi="Times New Roman"/>
                <w:sz w:val="24"/>
                <w:szCs w:val="24"/>
                <w:lang w:val="lv-LV"/>
              </w:rPr>
              <w:t>Politikas joma</w:t>
            </w:r>
          </w:p>
        </w:tc>
        <w:tc>
          <w:tcPr>
            <w:tcW w:w="5670" w:type="dxa"/>
          </w:tcPr>
          <w:p w:rsidR="004111E5" w:rsidRPr="00956950" w:rsidRDefault="004111E5" w:rsidP="00692C53">
            <w:pPr>
              <w:spacing w:after="0" w:line="240" w:lineRule="auto"/>
              <w:ind w:left="70" w:right="24"/>
              <w:jc w:val="both"/>
              <w:rPr>
                <w:rFonts w:ascii="Times New Roman" w:hAnsi="Times New Roman"/>
                <w:sz w:val="24"/>
                <w:szCs w:val="24"/>
                <w:lang w:val="lv-LV"/>
              </w:rPr>
            </w:pPr>
            <w:r w:rsidRPr="00956950">
              <w:rPr>
                <w:rFonts w:ascii="Times New Roman" w:hAnsi="Times New Roman"/>
                <w:sz w:val="24"/>
                <w:szCs w:val="24"/>
                <w:lang w:val="lv-LV"/>
              </w:rPr>
              <w:t>Izglītības un zinātnes politika</w:t>
            </w:r>
          </w:p>
          <w:p w:rsidR="00280DF6" w:rsidRPr="00956950" w:rsidRDefault="00280DF6" w:rsidP="00692C53">
            <w:pPr>
              <w:spacing w:after="0" w:line="240" w:lineRule="auto"/>
              <w:ind w:left="70" w:right="24"/>
              <w:jc w:val="both"/>
              <w:rPr>
                <w:rFonts w:ascii="Times New Roman" w:hAnsi="Times New Roman"/>
                <w:sz w:val="24"/>
                <w:szCs w:val="24"/>
                <w:lang w:val="lv-LV"/>
              </w:rPr>
            </w:pPr>
          </w:p>
        </w:tc>
      </w:tr>
      <w:tr w:rsidR="00C05C94" w:rsidRPr="002049D2" w:rsidTr="00692C53">
        <w:trPr>
          <w:jc w:val="center"/>
        </w:trPr>
        <w:tc>
          <w:tcPr>
            <w:tcW w:w="735" w:type="dxa"/>
          </w:tcPr>
          <w:p w:rsidR="004111E5" w:rsidRPr="00956950" w:rsidRDefault="004111E5" w:rsidP="00692C53">
            <w:pPr>
              <w:spacing w:after="0" w:line="240" w:lineRule="auto"/>
              <w:jc w:val="center"/>
              <w:rPr>
                <w:rFonts w:ascii="Times New Roman" w:hAnsi="Times New Roman"/>
                <w:sz w:val="24"/>
                <w:szCs w:val="24"/>
                <w:lang w:val="lv-LV"/>
              </w:rPr>
            </w:pPr>
            <w:r w:rsidRPr="00956950">
              <w:rPr>
                <w:rFonts w:ascii="Times New Roman" w:hAnsi="Times New Roman"/>
                <w:sz w:val="24"/>
                <w:szCs w:val="24"/>
                <w:lang w:val="lv-LV"/>
              </w:rPr>
              <w:t>6.</w:t>
            </w:r>
          </w:p>
        </w:tc>
        <w:tc>
          <w:tcPr>
            <w:tcW w:w="2804" w:type="dxa"/>
          </w:tcPr>
          <w:p w:rsidR="004111E5" w:rsidRPr="00956950" w:rsidRDefault="004111E5" w:rsidP="00692C53">
            <w:pPr>
              <w:spacing w:after="0" w:line="240" w:lineRule="auto"/>
              <w:rPr>
                <w:rFonts w:ascii="Times New Roman" w:hAnsi="Times New Roman"/>
                <w:sz w:val="24"/>
                <w:szCs w:val="24"/>
                <w:lang w:val="lv-LV"/>
              </w:rPr>
            </w:pPr>
            <w:r w:rsidRPr="00956950">
              <w:rPr>
                <w:rFonts w:ascii="Times New Roman" w:hAnsi="Times New Roman"/>
                <w:sz w:val="24"/>
                <w:szCs w:val="24"/>
                <w:lang w:val="lv-LV"/>
              </w:rPr>
              <w:t>Atbildīgā amatpersona</w:t>
            </w:r>
          </w:p>
        </w:tc>
        <w:tc>
          <w:tcPr>
            <w:tcW w:w="5670" w:type="dxa"/>
          </w:tcPr>
          <w:p w:rsidR="007A787D" w:rsidRPr="00956950" w:rsidRDefault="004111E5" w:rsidP="00692C53">
            <w:pPr>
              <w:spacing w:after="0" w:line="240" w:lineRule="auto"/>
              <w:jc w:val="both"/>
              <w:rPr>
                <w:rFonts w:ascii="Times New Roman" w:hAnsi="Times New Roman"/>
                <w:iCs/>
                <w:sz w:val="24"/>
                <w:szCs w:val="24"/>
                <w:lang w:val="lv-LV"/>
              </w:rPr>
            </w:pPr>
            <w:r w:rsidRPr="00956950">
              <w:rPr>
                <w:rFonts w:ascii="Times New Roman" w:hAnsi="Times New Roman"/>
                <w:iCs/>
                <w:sz w:val="24"/>
                <w:szCs w:val="24"/>
                <w:lang w:val="lv-LV"/>
              </w:rPr>
              <w:t>Izglītības un zinātnes ministrij</w:t>
            </w:r>
            <w:r w:rsidR="00F92188">
              <w:rPr>
                <w:rFonts w:ascii="Times New Roman" w:hAnsi="Times New Roman"/>
                <w:iCs/>
                <w:sz w:val="24"/>
                <w:szCs w:val="24"/>
                <w:lang w:val="lv-LV"/>
              </w:rPr>
              <w:t xml:space="preserve">as </w:t>
            </w:r>
            <w:r w:rsidRPr="00956950">
              <w:rPr>
                <w:rFonts w:ascii="Times New Roman" w:hAnsi="Times New Roman"/>
                <w:iCs/>
                <w:sz w:val="24"/>
                <w:szCs w:val="24"/>
                <w:lang w:val="lv-LV"/>
              </w:rPr>
              <w:t>Izglītības depa</w:t>
            </w:r>
            <w:r w:rsidR="00956950" w:rsidRPr="00956950">
              <w:rPr>
                <w:rFonts w:ascii="Times New Roman" w:hAnsi="Times New Roman"/>
                <w:iCs/>
                <w:sz w:val="24"/>
                <w:szCs w:val="24"/>
                <w:lang w:val="lv-LV"/>
              </w:rPr>
              <w:t>rtamenta</w:t>
            </w:r>
            <w:r w:rsidR="00956950" w:rsidRPr="00956950">
              <w:rPr>
                <w:rFonts w:ascii="Times New Roman" w:hAnsi="Times New Roman"/>
                <w:color w:val="000000"/>
                <w:sz w:val="24"/>
                <w:szCs w:val="24"/>
                <w:shd w:val="clear" w:color="auto" w:fill="FFFFFF"/>
                <w:lang w:val="lv-LV"/>
              </w:rPr>
              <w:t xml:space="preserve"> direktora vietniece pedagogu un pieaugušo izglītības jomā Baiba Bašķere.</w:t>
            </w:r>
          </w:p>
        </w:tc>
      </w:tr>
      <w:tr w:rsidR="00C05C94" w:rsidRPr="002049D2" w:rsidTr="00692C53">
        <w:trPr>
          <w:jc w:val="center"/>
        </w:trPr>
        <w:tc>
          <w:tcPr>
            <w:tcW w:w="735" w:type="dxa"/>
          </w:tcPr>
          <w:p w:rsidR="004111E5" w:rsidRPr="00956950" w:rsidRDefault="004111E5" w:rsidP="00692C53">
            <w:pPr>
              <w:spacing w:after="0" w:line="240" w:lineRule="auto"/>
              <w:jc w:val="center"/>
              <w:rPr>
                <w:rFonts w:ascii="Times New Roman" w:hAnsi="Times New Roman"/>
                <w:sz w:val="24"/>
                <w:szCs w:val="24"/>
                <w:lang w:val="lv-LV"/>
              </w:rPr>
            </w:pPr>
            <w:r w:rsidRPr="00956950">
              <w:rPr>
                <w:rFonts w:ascii="Times New Roman" w:hAnsi="Times New Roman"/>
                <w:sz w:val="24"/>
                <w:szCs w:val="24"/>
                <w:lang w:val="lv-LV"/>
              </w:rPr>
              <w:t>7.</w:t>
            </w:r>
          </w:p>
        </w:tc>
        <w:tc>
          <w:tcPr>
            <w:tcW w:w="2804" w:type="dxa"/>
          </w:tcPr>
          <w:p w:rsidR="004111E5" w:rsidRPr="00956950" w:rsidRDefault="004111E5" w:rsidP="00692C53">
            <w:pPr>
              <w:spacing w:after="0" w:line="240" w:lineRule="auto"/>
              <w:rPr>
                <w:rFonts w:ascii="Times New Roman" w:hAnsi="Times New Roman"/>
                <w:sz w:val="24"/>
                <w:szCs w:val="24"/>
                <w:lang w:val="lv-LV"/>
              </w:rPr>
            </w:pPr>
            <w:r w:rsidRPr="00956950">
              <w:rPr>
                <w:rFonts w:ascii="Times New Roman" w:hAnsi="Times New Roman"/>
                <w:sz w:val="24"/>
                <w:szCs w:val="24"/>
                <w:lang w:val="lv-LV"/>
              </w:rPr>
              <w:t>Uzaicināmās personas</w:t>
            </w:r>
          </w:p>
        </w:tc>
        <w:tc>
          <w:tcPr>
            <w:tcW w:w="5670" w:type="dxa"/>
          </w:tcPr>
          <w:p w:rsidR="00280DF6" w:rsidRPr="00956950" w:rsidRDefault="00956950" w:rsidP="00280DF6">
            <w:pPr>
              <w:spacing w:after="0" w:line="240" w:lineRule="auto"/>
              <w:jc w:val="both"/>
              <w:rPr>
                <w:rFonts w:ascii="Times New Roman" w:hAnsi="Times New Roman"/>
                <w:iCs/>
                <w:sz w:val="24"/>
                <w:szCs w:val="24"/>
                <w:lang w:val="lv-LV"/>
              </w:rPr>
            </w:pPr>
            <w:r w:rsidRPr="00956950">
              <w:rPr>
                <w:rFonts w:ascii="Times New Roman" w:hAnsi="Times New Roman"/>
                <w:iCs/>
                <w:sz w:val="24"/>
                <w:szCs w:val="24"/>
                <w:lang w:val="lv-LV"/>
              </w:rPr>
              <w:t>Izglītības</w:t>
            </w:r>
            <w:r w:rsidR="00F92188">
              <w:rPr>
                <w:rFonts w:ascii="Times New Roman" w:hAnsi="Times New Roman"/>
                <w:iCs/>
                <w:sz w:val="24"/>
                <w:szCs w:val="24"/>
                <w:lang w:val="lv-LV"/>
              </w:rPr>
              <w:t xml:space="preserve"> un zinātnes ministrijas </w:t>
            </w:r>
            <w:r w:rsidRPr="00956950">
              <w:rPr>
                <w:rFonts w:ascii="Times New Roman" w:hAnsi="Times New Roman"/>
                <w:iCs/>
                <w:sz w:val="24"/>
                <w:szCs w:val="24"/>
                <w:lang w:val="lv-LV"/>
              </w:rPr>
              <w:t>Izglītības departamenta</w:t>
            </w:r>
            <w:r w:rsidRPr="00956950">
              <w:rPr>
                <w:rFonts w:ascii="Times New Roman" w:hAnsi="Times New Roman"/>
                <w:color w:val="000000"/>
                <w:sz w:val="24"/>
                <w:szCs w:val="24"/>
                <w:shd w:val="clear" w:color="auto" w:fill="FFFFFF"/>
                <w:lang w:val="lv-LV"/>
              </w:rPr>
              <w:t xml:space="preserve"> direktora vietniece pedagogu un pieaugušo izglītības jomā Baiba Bašķere.</w:t>
            </w:r>
          </w:p>
        </w:tc>
      </w:tr>
      <w:tr w:rsidR="00C05C94" w:rsidRPr="00C05C94" w:rsidTr="00692C53">
        <w:trPr>
          <w:jc w:val="center"/>
        </w:trPr>
        <w:tc>
          <w:tcPr>
            <w:tcW w:w="735" w:type="dxa"/>
          </w:tcPr>
          <w:p w:rsidR="004111E5" w:rsidRPr="00C05C94" w:rsidRDefault="004111E5" w:rsidP="00692C53">
            <w:pPr>
              <w:spacing w:after="0" w:line="240" w:lineRule="auto"/>
              <w:jc w:val="center"/>
              <w:rPr>
                <w:rFonts w:ascii="Times New Roman" w:hAnsi="Times New Roman"/>
                <w:sz w:val="24"/>
                <w:szCs w:val="24"/>
                <w:lang w:val="lv-LV"/>
              </w:rPr>
            </w:pPr>
            <w:r w:rsidRPr="00C05C94">
              <w:rPr>
                <w:rFonts w:ascii="Times New Roman" w:hAnsi="Times New Roman"/>
                <w:sz w:val="24"/>
                <w:szCs w:val="24"/>
                <w:lang w:val="lv-LV"/>
              </w:rPr>
              <w:t>8.</w:t>
            </w:r>
          </w:p>
        </w:tc>
        <w:tc>
          <w:tcPr>
            <w:tcW w:w="2804" w:type="dxa"/>
          </w:tcPr>
          <w:p w:rsidR="00351494" w:rsidRPr="00C05C94" w:rsidRDefault="004111E5" w:rsidP="00692C53">
            <w:pPr>
              <w:spacing w:after="0" w:line="240" w:lineRule="auto"/>
              <w:rPr>
                <w:rFonts w:ascii="Times New Roman" w:hAnsi="Times New Roman"/>
                <w:sz w:val="24"/>
                <w:szCs w:val="24"/>
                <w:lang w:val="lv-LV"/>
              </w:rPr>
            </w:pPr>
            <w:r w:rsidRPr="00C05C94">
              <w:rPr>
                <w:rFonts w:ascii="Times New Roman" w:hAnsi="Times New Roman"/>
                <w:sz w:val="24"/>
                <w:szCs w:val="24"/>
                <w:lang w:val="lv-LV"/>
              </w:rPr>
              <w:t>Projekta ierobežotas lietošanas statuss</w:t>
            </w:r>
          </w:p>
        </w:tc>
        <w:tc>
          <w:tcPr>
            <w:tcW w:w="5670" w:type="dxa"/>
          </w:tcPr>
          <w:p w:rsidR="004111E5" w:rsidRPr="00C05C94" w:rsidRDefault="004111E5" w:rsidP="00692C53">
            <w:pPr>
              <w:widowControl/>
              <w:spacing w:after="0" w:line="240" w:lineRule="auto"/>
              <w:ind w:left="70" w:right="24"/>
              <w:rPr>
                <w:rFonts w:ascii="Times New Roman" w:eastAsia="Times New Roman" w:hAnsi="Times New Roman"/>
                <w:sz w:val="24"/>
                <w:szCs w:val="24"/>
                <w:lang w:val="lv-LV" w:eastAsia="lv-LV"/>
              </w:rPr>
            </w:pPr>
            <w:r w:rsidRPr="00C05C94">
              <w:rPr>
                <w:rFonts w:ascii="Times New Roman" w:eastAsia="Times New Roman" w:hAnsi="Times New Roman"/>
                <w:sz w:val="24"/>
                <w:szCs w:val="24"/>
                <w:lang w:val="lv-LV" w:eastAsia="lv-LV"/>
              </w:rPr>
              <w:t>Nav ierobežotas lietošanas statusa.</w:t>
            </w:r>
          </w:p>
        </w:tc>
      </w:tr>
      <w:tr w:rsidR="004111E5" w:rsidRPr="00C05C94" w:rsidTr="00692C53">
        <w:trPr>
          <w:jc w:val="center"/>
        </w:trPr>
        <w:tc>
          <w:tcPr>
            <w:tcW w:w="735" w:type="dxa"/>
            <w:tcBorders>
              <w:bottom w:val="single" w:sz="4" w:space="0" w:color="auto"/>
            </w:tcBorders>
          </w:tcPr>
          <w:p w:rsidR="004111E5" w:rsidRPr="00C05C94" w:rsidRDefault="004111E5" w:rsidP="00692C53">
            <w:pPr>
              <w:spacing w:after="0" w:line="240" w:lineRule="auto"/>
              <w:jc w:val="center"/>
              <w:rPr>
                <w:rFonts w:ascii="Times New Roman" w:hAnsi="Times New Roman"/>
                <w:sz w:val="24"/>
                <w:szCs w:val="24"/>
                <w:lang w:val="lv-LV"/>
              </w:rPr>
            </w:pPr>
            <w:r w:rsidRPr="00C05C94">
              <w:rPr>
                <w:rFonts w:ascii="Times New Roman" w:hAnsi="Times New Roman"/>
                <w:sz w:val="24"/>
                <w:szCs w:val="24"/>
                <w:lang w:val="lv-LV"/>
              </w:rPr>
              <w:t>9.</w:t>
            </w:r>
          </w:p>
        </w:tc>
        <w:tc>
          <w:tcPr>
            <w:tcW w:w="2804" w:type="dxa"/>
            <w:tcBorders>
              <w:bottom w:val="single" w:sz="4" w:space="0" w:color="auto"/>
            </w:tcBorders>
          </w:tcPr>
          <w:p w:rsidR="004111E5" w:rsidRPr="00C05C94" w:rsidRDefault="004111E5" w:rsidP="00692C53">
            <w:pPr>
              <w:spacing w:after="0" w:line="240" w:lineRule="auto"/>
              <w:rPr>
                <w:rFonts w:ascii="Times New Roman" w:hAnsi="Times New Roman"/>
                <w:sz w:val="24"/>
                <w:szCs w:val="24"/>
                <w:lang w:val="lv-LV"/>
              </w:rPr>
            </w:pPr>
            <w:r w:rsidRPr="00C05C94">
              <w:rPr>
                <w:rFonts w:ascii="Times New Roman" w:hAnsi="Times New Roman"/>
                <w:sz w:val="24"/>
                <w:szCs w:val="24"/>
                <w:lang w:val="lv-LV"/>
              </w:rPr>
              <w:t>Cita informācija</w:t>
            </w:r>
          </w:p>
        </w:tc>
        <w:tc>
          <w:tcPr>
            <w:tcW w:w="5670" w:type="dxa"/>
            <w:tcBorders>
              <w:bottom w:val="single" w:sz="4" w:space="0" w:color="auto"/>
            </w:tcBorders>
          </w:tcPr>
          <w:p w:rsidR="00280DF6" w:rsidRPr="00C05C94" w:rsidRDefault="004111E5" w:rsidP="003431E9">
            <w:pPr>
              <w:tabs>
                <w:tab w:val="left" w:pos="1304"/>
              </w:tabs>
              <w:spacing w:after="0" w:line="240" w:lineRule="auto"/>
              <w:ind w:left="70" w:right="24"/>
              <w:jc w:val="both"/>
              <w:rPr>
                <w:rFonts w:ascii="Times New Roman" w:hAnsi="Times New Roman"/>
                <w:iCs/>
                <w:sz w:val="24"/>
                <w:szCs w:val="24"/>
                <w:lang w:val="lv-LV"/>
              </w:rPr>
            </w:pPr>
            <w:r w:rsidRPr="00C05C94">
              <w:rPr>
                <w:rFonts w:ascii="Times New Roman" w:hAnsi="Times New Roman"/>
                <w:iCs/>
                <w:sz w:val="24"/>
                <w:szCs w:val="24"/>
                <w:lang w:val="lv-LV"/>
              </w:rPr>
              <w:t xml:space="preserve">Nav. </w:t>
            </w:r>
          </w:p>
        </w:tc>
      </w:tr>
    </w:tbl>
    <w:p w:rsidR="004111E5" w:rsidRPr="00C05C94" w:rsidRDefault="004111E5" w:rsidP="004111E5">
      <w:pPr>
        <w:spacing w:after="0" w:line="240" w:lineRule="auto"/>
        <w:ind w:firstLine="720"/>
        <w:jc w:val="both"/>
        <w:rPr>
          <w:rFonts w:ascii="Times New Roman" w:hAnsi="Times New Roman"/>
          <w:sz w:val="24"/>
          <w:szCs w:val="24"/>
          <w:lang w:val="lv-LV"/>
        </w:rPr>
      </w:pPr>
    </w:p>
    <w:p w:rsidR="004B581E" w:rsidRPr="00C05C94" w:rsidRDefault="004B581E" w:rsidP="004111E5">
      <w:pPr>
        <w:spacing w:after="0" w:line="240" w:lineRule="auto"/>
        <w:ind w:firstLine="720"/>
        <w:jc w:val="both"/>
        <w:rPr>
          <w:rFonts w:ascii="Times New Roman" w:hAnsi="Times New Roman"/>
          <w:sz w:val="24"/>
          <w:szCs w:val="24"/>
          <w:lang w:val="lv-LV"/>
        </w:rPr>
      </w:pPr>
      <w:r w:rsidRPr="00C05C94">
        <w:rPr>
          <w:rFonts w:ascii="Times New Roman" w:hAnsi="Times New Roman"/>
          <w:sz w:val="24"/>
          <w:szCs w:val="24"/>
          <w:lang w:val="lv-LV"/>
        </w:rPr>
        <w:t xml:space="preserve">Pielikumā: Ministru kabineta sēdes </w:t>
      </w:r>
      <w:proofErr w:type="spellStart"/>
      <w:r w:rsidRPr="00C05C94">
        <w:rPr>
          <w:rFonts w:ascii="Times New Roman" w:hAnsi="Times New Roman"/>
          <w:sz w:val="24"/>
          <w:szCs w:val="24"/>
          <w:lang w:val="lv-LV"/>
        </w:rPr>
        <w:t>protokollēmuma</w:t>
      </w:r>
      <w:proofErr w:type="spellEnd"/>
      <w:r w:rsidRPr="00C05C94">
        <w:rPr>
          <w:rFonts w:ascii="Times New Roman" w:hAnsi="Times New Roman"/>
          <w:sz w:val="24"/>
          <w:szCs w:val="24"/>
          <w:lang w:val="lv-LV"/>
        </w:rPr>
        <w:t xml:space="preserve"> projekt</w:t>
      </w:r>
      <w:r w:rsidR="00CF7851" w:rsidRPr="00C05C94">
        <w:rPr>
          <w:rFonts w:ascii="Times New Roman" w:hAnsi="Times New Roman"/>
          <w:sz w:val="24"/>
          <w:szCs w:val="24"/>
          <w:lang w:val="lv-LV"/>
        </w:rPr>
        <w:t>s</w:t>
      </w:r>
      <w:r w:rsidRPr="00C05C94">
        <w:rPr>
          <w:rFonts w:ascii="Times New Roman" w:hAnsi="Times New Roman"/>
          <w:sz w:val="24"/>
          <w:szCs w:val="24"/>
          <w:lang w:val="lv-LV"/>
        </w:rPr>
        <w:t xml:space="preserve"> “Par Ministru kabineta 2017.gada 21.marta sēdes </w:t>
      </w:r>
      <w:proofErr w:type="spellStart"/>
      <w:r w:rsidRPr="00C05C94">
        <w:rPr>
          <w:rFonts w:ascii="Times New Roman" w:hAnsi="Times New Roman"/>
          <w:sz w:val="24"/>
          <w:szCs w:val="24"/>
          <w:lang w:val="lv-LV"/>
        </w:rPr>
        <w:t>protokollēmuma</w:t>
      </w:r>
      <w:proofErr w:type="spellEnd"/>
      <w:r w:rsidRPr="00C05C94">
        <w:rPr>
          <w:rFonts w:ascii="Times New Roman" w:hAnsi="Times New Roman"/>
          <w:sz w:val="24"/>
          <w:szCs w:val="24"/>
          <w:lang w:val="lv-LV"/>
        </w:rPr>
        <w:t xml:space="preserve"> (prot. Nr.14. 31.§) “Informatīvais ziņojums “Par Nodarbinātības padomes ietvaros identificēto pasākumu kopumu un to izpildes termiņiem”” 3.1.1. un 3.1.2 apakšpunktā doto uzdevumu izpildi” uz 1.lp. (datne: IZMProt_270617_NPadome) </w:t>
      </w:r>
    </w:p>
    <w:p w:rsidR="00090F81" w:rsidRPr="00C05C94" w:rsidRDefault="00090F81" w:rsidP="00351494">
      <w:pPr>
        <w:spacing w:after="0" w:line="240" w:lineRule="auto"/>
        <w:ind w:firstLine="644"/>
        <w:jc w:val="both"/>
        <w:rPr>
          <w:rFonts w:ascii="Times New Roman" w:hAnsi="Times New Roman"/>
          <w:sz w:val="24"/>
          <w:szCs w:val="24"/>
          <w:lang w:val="lv-LV"/>
        </w:rPr>
      </w:pPr>
    </w:p>
    <w:p w:rsidR="00CF7851" w:rsidRPr="00C05C94" w:rsidRDefault="00CF7851" w:rsidP="00351494">
      <w:pPr>
        <w:spacing w:after="0" w:line="240" w:lineRule="auto"/>
        <w:ind w:firstLine="644"/>
        <w:jc w:val="both"/>
        <w:rPr>
          <w:rFonts w:ascii="Times New Roman" w:hAnsi="Times New Roman"/>
          <w:sz w:val="24"/>
          <w:szCs w:val="24"/>
          <w:lang w:val="lv-LV"/>
        </w:rPr>
      </w:pPr>
    </w:p>
    <w:p w:rsidR="004111E5" w:rsidRPr="00C05C94" w:rsidRDefault="004111E5" w:rsidP="004111E5">
      <w:pPr>
        <w:ind w:firstLine="720"/>
        <w:rPr>
          <w:rFonts w:ascii="Times New Roman" w:hAnsi="Times New Roman"/>
          <w:sz w:val="24"/>
          <w:szCs w:val="24"/>
          <w:lang w:val="lv-LV"/>
        </w:rPr>
      </w:pPr>
      <w:r w:rsidRPr="00C05C94">
        <w:rPr>
          <w:rFonts w:ascii="Times New Roman" w:hAnsi="Times New Roman"/>
          <w:sz w:val="24"/>
          <w:szCs w:val="24"/>
          <w:lang w:val="lv-LV"/>
        </w:rPr>
        <w:t xml:space="preserve">Ministrs                                                                                        </w:t>
      </w:r>
      <w:proofErr w:type="spellStart"/>
      <w:r w:rsidRPr="00C05C94">
        <w:rPr>
          <w:rFonts w:ascii="Times New Roman" w:hAnsi="Times New Roman"/>
          <w:sz w:val="24"/>
          <w:szCs w:val="24"/>
          <w:lang w:val="lv-LV"/>
        </w:rPr>
        <w:t>K.Šadurskis</w:t>
      </w:r>
      <w:proofErr w:type="spellEnd"/>
      <w:r w:rsidRPr="00C05C94">
        <w:rPr>
          <w:rFonts w:ascii="Times New Roman" w:hAnsi="Times New Roman"/>
          <w:sz w:val="24"/>
          <w:szCs w:val="24"/>
          <w:lang w:val="lv-LV"/>
        </w:rPr>
        <w:t xml:space="preserve">  </w:t>
      </w:r>
    </w:p>
    <w:p w:rsidR="004111E5" w:rsidRPr="00A07B7E" w:rsidRDefault="004111E5" w:rsidP="004111E5">
      <w:pPr>
        <w:tabs>
          <w:tab w:val="left" w:pos="3555"/>
        </w:tabs>
        <w:spacing w:after="0" w:line="240" w:lineRule="auto"/>
        <w:rPr>
          <w:rFonts w:ascii="Times New Roman" w:hAnsi="Times New Roman"/>
          <w:sz w:val="28"/>
          <w:szCs w:val="28"/>
          <w:lang w:val="lv-LV"/>
        </w:rPr>
      </w:pPr>
    </w:p>
    <w:p w:rsidR="00280DF6" w:rsidRPr="00A07B7E" w:rsidRDefault="00280DF6" w:rsidP="004111E5">
      <w:pPr>
        <w:tabs>
          <w:tab w:val="left" w:pos="3555"/>
        </w:tabs>
        <w:spacing w:after="0" w:line="240" w:lineRule="auto"/>
        <w:rPr>
          <w:rFonts w:ascii="Times New Roman" w:hAnsi="Times New Roman"/>
          <w:sz w:val="20"/>
          <w:szCs w:val="20"/>
          <w:lang w:val="lv-LV"/>
        </w:rPr>
      </w:pPr>
    </w:p>
    <w:p w:rsidR="00280DF6" w:rsidRPr="00A07B7E" w:rsidRDefault="00BD4F81" w:rsidP="00280DF6">
      <w:pPr>
        <w:widowControl/>
        <w:spacing w:after="0" w:line="240" w:lineRule="auto"/>
        <w:jc w:val="both"/>
        <w:rPr>
          <w:rFonts w:ascii="Times New Roman" w:eastAsia="Times New Roman" w:hAnsi="Times New Roman"/>
          <w:sz w:val="20"/>
          <w:szCs w:val="20"/>
          <w:lang w:val="lv-LV" w:eastAsia="lv-LV"/>
        </w:rPr>
      </w:pPr>
      <w:proofErr w:type="spellStart"/>
      <w:r w:rsidRPr="00A07B7E">
        <w:rPr>
          <w:rFonts w:ascii="Times New Roman" w:eastAsia="Times New Roman" w:hAnsi="Times New Roman"/>
          <w:sz w:val="20"/>
          <w:szCs w:val="20"/>
          <w:lang w:val="lv-LV" w:eastAsia="lv-LV"/>
        </w:rPr>
        <w:t>L.I.Strode</w:t>
      </w:r>
      <w:proofErr w:type="spellEnd"/>
    </w:p>
    <w:p w:rsidR="00280DF6" w:rsidRPr="00A07B7E" w:rsidRDefault="00BD4F81" w:rsidP="00280DF6">
      <w:pPr>
        <w:widowControl/>
        <w:spacing w:after="0" w:line="240" w:lineRule="auto"/>
        <w:jc w:val="both"/>
        <w:rPr>
          <w:rFonts w:ascii="Times New Roman" w:eastAsia="Times New Roman" w:hAnsi="Times New Roman"/>
          <w:sz w:val="20"/>
          <w:szCs w:val="20"/>
          <w:lang w:val="lv-LV" w:eastAsia="lv-LV"/>
        </w:rPr>
      </w:pPr>
      <w:r w:rsidRPr="00A07B7E">
        <w:rPr>
          <w:rFonts w:ascii="Times New Roman" w:eastAsia="Times New Roman" w:hAnsi="Times New Roman"/>
          <w:sz w:val="20"/>
          <w:szCs w:val="20"/>
          <w:lang w:val="lv-LV" w:eastAsia="lv-LV"/>
        </w:rPr>
        <w:t>67047754, laura-iveta.strode</w:t>
      </w:r>
      <w:r w:rsidR="00280DF6" w:rsidRPr="00A07B7E">
        <w:rPr>
          <w:rFonts w:ascii="Times New Roman" w:eastAsia="Times New Roman" w:hAnsi="Times New Roman"/>
          <w:sz w:val="20"/>
          <w:szCs w:val="20"/>
          <w:lang w:val="lv-LV" w:eastAsia="lv-LV"/>
        </w:rPr>
        <w:t>@izm.gov.lv</w:t>
      </w:r>
    </w:p>
    <w:p w:rsidR="004111E5" w:rsidRPr="00A07B7E" w:rsidRDefault="004111E5" w:rsidP="004111E5">
      <w:pPr>
        <w:spacing w:after="0" w:line="240" w:lineRule="auto"/>
        <w:ind w:left="540"/>
        <w:rPr>
          <w:rFonts w:ascii="Times New Roman" w:hAnsi="Times New Roman"/>
          <w:sz w:val="24"/>
          <w:szCs w:val="24"/>
          <w:lang w:val="lv-LV"/>
        </w:rPr>
      </w:pPr>
    </w:p>
    <w:p w:rsidR="00412762" w:rsidRPr="00A07B7E" w:rsidRDefault="00412762" w:rsidP="00412762">
      <w:pPr>
        <w:tabs>
          <w:tab w:val="left" w:pos="1515"/>
        </w:tabs>
        <w:rPr>
          <w:rFonts w:ascii="Times New Roman" w:hAnsi="Times New Roman"/>
          <w:sz w:val="24"/>
          <w:szCs w:val="24"/>
          <w:lang w:val="lv-LV"/>
        </w:rPr>
      </w:pPr>
    </w:p>
    <w:sectPr w:rsidR="00412762" w:rsidRPr="00A07B7E" w:rsidSect="0029154C">
      <w:headerReference w:type="default" r:id="rId9"/>
      <w:footerReference w:type="default" r:id="rId10"/>
      <w:headerReference w:type="first" r:id="rId11"/>
      <w:foot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6FF" w:rsidRDefault="00CC26FF">
      <w:pPr>
        <w:spacing w:after="0" w:line="240" w:lineRule="auto"/>
      </w:pPr>
      <w:r>
        <w:separator/>
      </w:r>
    </w:p>
  </w:endnote>
  <w:endnote w:type="continuationSeparator" w:id="0">
    <w:p w:rsidR="00CC26FF" w:rsidRDefault="00CC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1E" w:rsidRPr="002049D2" w:rsidRDefault="004B581E" w:rsidP="0006272D">
    <w:pPr>
      <w:pStyle w:val="Footer"/>
      <w:jc w:val="both"/>
      <w:rPr>
        <w:rFonts w:ascii="Times New Roman" w:hAnsi="Times New Roman"/>
        <w:sz w:val="24"/>
        <w:szCs w:val="24"/>
        <w:lang w:val="lv-LV"/>
      </w:rPr>
    </w:pPr>
    <w:r w:rsidRPr="002049D2">
      <w:rPr>
        <w:rFonts w:ascii="Times New Roman" w:hAnsi="Times New Roman"/>
        <w:sz w:val="24"/>
        <w:szCs w:val="24"/>
        <w:lang w:val="de-DE"/>
      </w:rPr>
      <w:t xml:space="preserve">IZMPav_270617_NPadome; </w:t>
    </w:r>
    <w:r>
      <w:rPr>
        <w:rFonts w:ascii="Times New Roman" w:hAnsi="Times New Roman"/>
        <w:sz w:val="24"/>
        <w:szCs w:val="24"/>
        <w:lang w:val="lv-LV"/>
      </w:rPr>
      <w:t xml:space="preserve">Par Ministru kabineta 2017.gada 21.marta sēdes </w:t>
    </w:r>
    <w:proofErr w:type="spellStart"/>
    <w:r>
      <w:rPr>
        <w:rFonts w:ascii="Times New Roman" w:hAnsi="Times New Roman"/>
        <w:sz w:val="24"/>
        <w:szCs w:val="24"/>
        <w:lang w:val="lv-LV"/>
      </w:rPr>
      <w:t>protokollēmuma</w:t>
    </w:r>
    <w:proofErr w:type="spellEnd"/>
    <w:r>
      <w:rPr>
        <w:rFonts w:ascii="Times New Roman" w:hAnsi="Times New Roman"/>
        <w:sz w:val="24"/>
        <w:szCs w:val="24"/>
        <w:lang w:val="lv-LV"/>
      </w:rPr>
      <w:t xml:space="preserve"> (prot. Nr.14. 31.</w:t>
    </w:r>
    <w:r w:rsidRPr="00A07B7E">
      <w:rPr>
        <w:rFonts w:ascii="Times New Roman" w:hAnsi="Times New Roman"/>
        <w:sz w:val="24"/>
        <w:szCs w:val="24"/>
        <w:lang w:val="lv-LV"/>
      </w:rPr>
      <w:t>§</w:t>
    </w:r>
    <w:r>
      <w:rPr>
        <w:rFonts w:ascii="Times New Roman" w:hAnsi="Times New Roman"/>
        <w:sz w:val="24"/>
        <w:szCs w:val="24"/>
        <w:lang w:val="lv-LV"/>
      </w:rPr>
      <w:t xml:space="preserve">) “Informatīvais ziņojums “Par Nodarbinātības padomes ietvaros identificēto pasākumu kopumu un to izpildes termiņiem”” </w:t>
    </w:r>
    <w:r w:rsidRPr="00A07B7E">
      <w:rPr>
        <w:rFonts w:ascii="Times New Roman" w:hAnsi="Times New Roman"/>
        <w:sz w:val="24"/>
        <w:szCs w:val="24"/>
        <w:lang w:val="lv-LV"/>
      </w:rPr>
      <w:t xml:space="preserve">3.1.1. un 3.1.2 </w:t>
    </w:r>
    <w:r>
      <w:rPr>
        <w:rFonts w:ascii="Times New Roman" w:hAnsi="Times New Roman"/>
        <w:sz w:val="24"/>
        <w:szCs w:val="24"/>
        <w:lang w:val="lv-LV"/>
      </w:rPr>
      <w:t>apakšpunktā doto uzdevumu izpildi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2E" w:rsidRPr="002049D2" w:rsidRDefault="00DB392E" w:rsidP="0006272D">
    <w:pPr>
      <w:pStyle w:val="Footer"/>
      <w:jc w:val="both"/>
      <w:rPr>
        <w:lang w:val="lv-LV"/>
      </w:rPr>
    </w:pPr>
    <w:r w:rsidRPr="002049D2">
      <w:rPr>
        <w:rFonts w:ascii="Times New Roman" w:hAnsi="Times New Roman"/>
        <w:sz w:val="24"/>
        <w:szCs w:val="24"/>
        <w:lang w:val="de-DE"/>
      </w:rPr>
      <w:t xml:space="preserve">IZMPav_270617_NPadome; </w:t>
    </w:r>
    <w:r>
      <w:rPr>
        <w:rFonts w:ascii="Times New Roman" w:hAnsi="Times New Roman"/>
        <w:sz w:val="24"/>
        <w:szCs w:val="24"/>
        <w:lang w:val="lv-LV"/>
      </w:rPr>
      <w:t xml:space="preserve">Par Ministru kabineta 2017.gada 21.marta sēdes </w:t>
    </w:r>
    <w:proofErr w:type="spellStart"/>
    <w:r>
      <w:rPr>
        <w:rFonts w:ascii="Times New Roman" w:hAnsi="Times New Roman"/>
        <w:sz w:val="24"/>
        <w:szCs w:val="24"/>
        <w:lang w:val="lv-LV"/>
      </w:rPr>
      <w:t>protokollēmuma</w:t>
    </w:r>
    <w:proofErr w:type="spellEnd"/>
    <w:r>
      <w:rPr>
        <w:rFonts w:ascii="Times New Roman" w:hAnsi="Times New Roman"/>
        <w:sz w:val="24"/>
        <w:szCs w:val="24"/>
        <w:lang w:val="lv-LV"/>
      </w:rPr>
      <w:t xml:space="preserve"> (prot. Nr.14. 31.</w:t>
    </w:r>
    <w:r w:rsidRPr="00A07B7E">
      <w:rPr>
        <w:rFonts w:ascii="Times New Roman" w:hAnsi="Times New Roman"/>
        <w:sz w:val="24"/>
        <w:szCs w:val="24"/>
        <w:lang w:val="lv-LV"/>
      </w:rPr>
      <w:t>§</w:t>
    </w:r>
    <w:r>
      <w:rPr>
        <w:rFonts w:ascii="Times New Roman" w:hAnsi="Times New Roman"/>
        <w:sz w:val="24"/>
        <w:szCs w:val="24"/>
        <w:lang w:val="lv-LV"/>
      </w:rPr>
      <w:t xml:space="preserve">) “Informatīvais ziņojums “Par Nodarbinātības padomes ietvaros identificēto pasākumu kopumu un to izpildes termiņiem”” </w:t>
    </w:r>
    <w:r w:rsidRPr="00A07B7E">
      <w:rPr>
        <w:rFonts w:ascii="Times New Roman" w:hAnsi="Times New Roman"/>
        <w:sz w:val="24"/>
        <w:szCs w:val="24"/>
        <w:lang w:val="lv-LV"/>
      </w:rPr>
      <w:t xml:space="preserve">3.1.1. un 3.1.2 </w:t>
    </w:r>
    <w:r>
      <w:rPr>
        <w:rFonts w:ascii="Times New Roman" w:hAnsi="Times New Roman"/>
        <w:sz w:val="24"/>
        <w:szCs w:val="24"/>
        <w:lang w:val="lv-LV"/>
      </w:rPr>
      <w:t>apakšpunktā doto uzdevumu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6FF" w:rsidRDefault="00CC26FF">
      <w:pPr>
        <w:spacing w:after="0" w:line="240" w:lineRule="auto"/>
      </w:pPr>
      <w:r>
        <w:separator/>
      </w:r>
    </w:p>
  </w:footnote>
  <w:footnote w:type="continuationSeparator" w:id="0">
    <w:p w:rsidR="00CC26FF" w:rsidRDefault="00CC2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405794"/>
      <w:docPartObj>
        <w:docPartGallery w:val="Page Numbers (Top of Page)"/>
        <w:docPartUnique/>
      </w:docPartObj>
    </w:sdtPr>
    <w:sdtEndPr>
      <w:rPr>
        <w:noProof/>
      </w:rPr>
    </w:sdtEndPr>
    <w:sdtContent>
      <w:p w:rsidR="00CB62E7" w:rsidRDefault="00CB62E7">
        <w:pPr>
          <w:pStyle w:val="Header"/>
          <w:jc w:val="center"/>
        </w:pPr>
        <w:r w:rsidRPr="0006272D">
          <w:rPr>
            <w:rFonts w:ascii="Times New Roman" w:hAnsi="Times New Roman"/>
          </w:rPr>
          <w:fldChar w:fldCharType="begin"/>
        </w:r>
        <w:r w:rsidRPr="0006272D">
          <w:rPr>
            <w:rFonts w:ascii="Times New Roman" w:hAnsi="Times New Roman"/>
          </w:rPr>
          <w:instrText xml:space="preserve"> PAGE   \* MERGEFORMAT </w:instrText>
        </w:r>
        <w:r w:rsidRPr="0006272D">
          <w:rPr>
            <w:rFonts w:ascii="Times New Roman" w:hAnsi="Times New Roman"/>
          </w:rPr>
          <w:fldChar w:fldCharType="separate"/>
        </w:r>
        <w:r w:rsidR="002049D2">
          <w:rPr>
            <w:rFonts w:ascii="Times New Roman" w:hAnsi="Times New Roman"/>
            <w:noProof/>
          </w:rPr>
          <w:t>4</w:t>
        </w:r>
        <w:r w:rsidRPr="0006272D">
          <w:rPr>
            <w:rFonts w:ascii="Times New Roman" w:hAnsi="Times New Roman"/>
            <w:noProof/>
          </w:rPr>
          <w:fldChar w:fldCharType="end"/>
        </w:r>
      </w:p>
    </w:sdtContent>
  </w:sdt>
  <w:p w:rsidR="00CB62E7" w:rsidRDefault="00CB6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Pr="00815277" w:rsidRDefault="00CD6899" w:rsidP="0029154C">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r w:rsidR="004111E5">
      <w:rPr>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54C" w:rsidRDefault="0029154C" w:rsidP="0029154C">
                          <w:pPr>
                            <w:spacing w:after="0" w:line="194" w:lineRule="exact"/>
                            <w:ind w:left="20" w:right="-45"/>
                            <w:jc w:val="center"/>
                            <w:rPr>
                              <w:rFonts w:ascii="Times New Roman" w:eastAsia="Times New Roman" w:hAnsi="Times New Roman"/>
                              <w:sz w:val="17"/>
                              <w:szCs w:val="17"/>
                            </w:rPr>
                          </w:pPr>
                          <w:proofErr w:type="spellStart"/>
                          <w:r w:rsidRPr="0021556E">
                            <w:rPr>
                              <w:rFonts w:ascii="Times New Roman" w:eastAsia="Times New Roman" w:hAnsi="Times New Roman"/>
                              <w:color w:val="231F20"/>
                              <w:sz w:val="17"/>
                              <w:szCs w:val="17"/>
                            </w:rPr>
                            <w:t>Vaļņu</w:t>
                          </w:r>
                          <w:proofErr w:type="spellEnd"/>
                          <w:r w:rsidRPr="0021556E">
                            <w:rPr>
                              <w:rFonts w:ascii="Times New Roman" w:eastAsia="Times New Roman" w:hAnsi="Times New Roman"/>
                              <w:color w:val="231F20"/>
                              <w:sz w:val="17"/>
                              <w:szCs w:val="17"/>
                            </w:rPr>
                            <w:t xml:space="preserve"> </w:t>
                          </w:r>
                          <w:proofErr w:type="spellStart"/>
                          <w:r w:rsidRPr="0021556E">
                            <w:rPr>
                              <w:rFonts w:ascii="Times New Roman" w:eastAsia="Times New Roman" w:hAnsi="Times New Roman"/>
                              <w:color w:val="231F20"/>
                              <w:sz w:val="17"/>
                              <w:szCs w:val="17"/>
                            </w:rPr>
                            <w:t>iela</w:t>
                          </w:r>
                          <w:proofErr w:type="spellEnd"/>
                          <w:r w:rsidRPr="0021556E">
                            <w:rPr>
                              <w:rFonts w:ascii="Times New Roman" w:eastAsia="Times New Roman" w:hAnsi="Times New Roman"/>
                              <w:color w:val="231F20"/>
                              <w:sz w:val="17"/>
                              <w:szCs w:val="17"/>
                            </w:rPr>
                            <w:t xml:space="preserve"> 2, </w:t>
                          </w:r>
                          <w:proofErr w:type="spellStart"/>
                          <w:r w:rsidRPr="0021556E">
                            <w:rPr>
                              <w:rFonts w:ascii="Times New Roman" w:eastAsia="Times New Roman" w:hAnsi="Times New Roman"/>
                              <w:color w:val="231F20"/>
                              <w:sz w:val="17"/>
                              <w:szCs w:val="17"/>
                            </w:rPr>
                            <w:t>Rīga</w:t>
                          </w:r>
                          <w:proofErr w:type="spellEnd"/>
                          <w:r w:rsidRPr="0021556E">
                            <w:rPr>
                              <w:rFonts w:ascii="Times New Roman" w:eastAsia="Times New Roman" w:hAnsi="Times New Roman"/>
                              <w:color w:val="231F20"/>
                              <w:sz w:val="17"/>
                              <w:szCs w:val="17"/>
                            </w:rPr>
                            <w:t xml:space="preserve">, LV - 1050, </w:t>
                          </w:r>
                          <w:proofErr w:type="spellStart"/>
                          <w:r w:rsidRPr="0021556E">
                            <w:rPr>
                              <w:rFonts w:ascii="Times New Roman" w:eastAsia="Times New Roman" w:hAnsi="Times New Roman"/>
                              <w:color w:val="231F20"/>
                              <w:sz w:val="17"/>
                              <w:szCs w:val="17"/>
                            </w:rPr>
                            <w:t>tālr</w:t>
                          </w:r>
                          <w:proofErr w:type="spellEnd"/>
                          <w:r w:rsidRPr="0021556E">
                            <w:rPr>
                              <w:rFonts w:ascii="Times New Roman" w:eastAsia="Times New Roman" w:hAnsi="Times New Roman"/>
                              <w:color w:val="231F20"/>
                              <w:sz w:val="17"/>
                              <w:szCs w:val="17"/>
                            </w:rPr>
                            <w:t xml:space="preserve">. 67226209, </w:t>
                          </w:r>
                          <w:proofErr w:type="spellStart"/>
                          <w:r w:rsidRPr="0021556E">
                            <w:rPr>
                              <w:rFonts w:ascii="Times New Roman" w:eastAsia="Times New Roman" w:hAnsi="Times New Roman"/>
                              <w:color w:val="231F20"/>
                              <w:sz w:val="17"/>
                              <w:szCs w:val="17"/>
                            </w:rPr>
                            <w:t>fakss</w:t>
                          </w:r>
                          <w:proofErr w:type="spellEnd"/>
                          <w:r w:rsidRPr="0021556E">
                            <w:rPr>
                              <w:rFonts w:ascii="Times New Roman" w:eastAsia="Times New Roman" w:hAnsi="Times New Roman"/>
                              <w:color w:val="231F20"/>
                              <w:sz w:val="17"/>
                              <w:szCs w:val="17"/>
                            </w:rPr>
                            <w:t xml:space="preserve"> 67223905, e-pasts pasts@izm.gov.lv, www.izm.gov.lv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29154C" w:rsidRDefault="0029154C" w:rsidP="0029154C">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v:textbox>
              <w10:wrap anchorx="page" anchory="page"/>
            </v:shape>
          </w:pict>
        </mc:Fallback>
      </mc:AlternateContent>
    </w:r>
    <w:r w:rsidR="004111E5">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0C937"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9154C" w:rsidRDefault="00291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F677A9"/>
    <w:multiLevelType w:val="hybridMultilevel"/>
    <w:tmpl w:val="6AFA856E"/>
    <w:lvl w:ilvl="0" w:tplc="A1CEF9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13DD4243"/>
    <w:multiLevelType w:val="hybridMultilevel"/>
    <w:tmpl w:val="7D827EA0"/>
    <w:lvl w:ilvl="0" w:tplc="04260001">
      <w:start w:val="1"/>
      <w:numFmt w:val="bullet"/>
      <w:lvlText w:val=""/>
      <w:lvlJc w:val="left"/>
      <w:pPr>
        <w:ind w:left="1226" w:hanging="360"/>
      </w:pPr>
      <w:rPr>
        <w:rFonts w:ascii="Symbol" w:hAnsi="Symbol" w:hint="default"/>
      </w:rPr>
    </w:lvl>
    <w:lvl w:ilvl="1" w:tplc="04260003" w:tentative="1">
      <w:start w:val="1"/>
      <w:numFmt w:val="bullet"/>
      <w:lvlText w:val="o"/>
      <w:lvlJc w:val="left"/>
      <w:pPr>
        <w:ind w:left="1946" w:hanging="360"/>
      </w:pPr>
      <w:rPr>
        <w:rFonts w:ascii="Courier New" w:hAnsi="Courier New" w:cs="Courier New" w:hint="default"/>
      </w:rPr>
    </w:lvl>
    <w:lvl w:ilvl="2" w:tplc="04260005" w:tentative="1">
      <w:start w:val="1"/>
      <w:numFmt w:val="bullet"/>
      <w:lvlText w:val=""/>
      <w:lvlJc w:val="left"/>
      <w:pPr>
        <w:ind w:left="2666" w:hanging="360"/>
      </w:pPr>
      <w:rPr>
        <w:rFonts w:ascii="Wingdings" w:hAnsi="Wingdings" w:hint="default"/>
      </w:rPr>
    </w:lvl>
    <w:lvl w:ilvl="3" w:tplc="04260001" w:tentative="1">
      <w:start w:val="1"/>
      <w:numFmt w:val="bullet"/>
      <w:lvlText w:val=""/>
      <w:lvlJc w:val="left"/>
      <w:pPr>
        <w:ind w:left="3386" w:hanging="360"/>
      </w:pPr>
      <w:rPr>
        <w:rFonts w:ascii="Symbol" w:hAnsi="Symbol" w:hint="default"/>
      </w:rPr>
    </w:lvl>
    <w:lvl w:ilvl="4" w:tplc="04260003" w:tentative="1">
      <w:start w:val="1"/>
      <w:numFmt w:val="bullet"/>
      <w:lvlText w:val="o"/>
      <w:lvlJc w:val="left"/>
      <w:pPr>
        <w:ind w:left="4106" w:hanging="360"/>
      </w:pPr>
      <w:rPr>
        <w:rFonts w:ascii="Courier New" w:hAnsi="Courier New" w:cs="Courier New" w:hint="default"/>
      </w:rPr>
    </w:lvl>
    <w:lvl w:ilvl="5" w:tplc="04260005" w:tentative="1">
      <w:start w:val="1"/>
      <w:numFmt w:val="bullet"/>
      <w:lvlText w:val=""/>
      <w:lvlJc w:val="left"/>
      <w:pPr>
        <w:ind w:left="4826" w:hanging="360"/>
      </w:pPr>
      <w:rPr>
        <w:rFonts w:ascii="Wingdings" w:hAnsi="Wingdings" w:hint="default"/>
      </w:rPr>
    </w:lvl>
    <w:lvl w:ilvl="6" w:tplc="04260001" w:tentative="1">
      <w:start w:val="1"/>
      <w:numFmt w:val="bullet"/>
      <w:lvlText w:val=""/>
      <w:lvlJc w:val="left"/>
      <w:pPr>
        <w:ind w:left="5546" w:hanging="360"/>
      </w:pPr>
      <w:rPr>
        <w:rFonts w:ascii="Symbol" w:hAnsi="Symbol" w:hint="default"/>
      </w:rPr>
    </w:lvl>
    <w:lvl w:ilvl="7" w:tplc="04260003" w:tentative="1">
      <w:start w:val="1"/>
      <w:numFmt w:val="bullet"/>
      <w:lvlText w:val="o"/>
      <w:lvlJc w:val="left"/>
      <w:pPr>
        <w:ind w:left="6266" w:hanging="360"/>
      </w:pPr>
      <w:rPr>
        <w:rFonts w:ascii="Courier New" w:hAnsi="Courier New" w:cs="Courier New" w:hint="default"/>
      </w:rPr>
    </w:lvl>
    <w:lvl w:ilvl="8" w:tplc="04260005" w:tentative="1">
      <w:start w:val="1"/>
      <w:numFmt w:val="bullet"/>
      <w:lvlText w:val=""/>
      <w:lvlJc w:val="left"/>
      <w:pPr>
        <w:ind w:left="6986" w:hanging="360"/>
      </w:pPr>
      <w:rPr>
        <w:rFonts w:ascii="Wingdings" w:hAnsi="Wingdings" w:hint="default"/>
      </w:rPr>
    </w:lvl>
  </w:abstractNum>
  <w:abstractNum w:abstractNumId="13" w15:restartNumberingAfterBreak="0">
    <w:nsid w:val="247968FD"/>
    <w:multiLevelType w:val="hybridMultilevel"/>
    <w:tmpl w:val="16CE3306"/>
    <w:lvl w:ilvl="0" w:tplc="04260001">
      <w:start w:val="1"/>
      <w:numFmt w:val="bullet"/>
      <w:lvlText w:val=""/>
      <w:lvlJc w:val="left"/>
      <w:pPr>
        <w:ind w:left="1226" w:hanging="360"/>
      </w:pPr>
      <w:rPr>
        <w:rFonts w:ascii="Symbol" w:hAnsi="Symbol" w:hint="default"/>
      </w:rPr>
    </w:lvl>
    <w:lvl w:ilvl="1" w:tplc="04260003" w:tentative="1">
      <w:start w:val="1"/>
      <w:numFmt w:val="bullet"/>
      <w:lvlText w:val="o"/>
      <w:lvlJc w:val="left"/>
      <w:pPr>
        <w:ind w:left="1946" w:hanging="360"/>
      </w:pPr>
      <w:rPr>
        <w:rFonts w:ascii="Courier New" w:hAnsi="Courier New" w:cs="Courier New" w:hint="default"/>
      </w:rPr>
    </w:lvl>
    <w:lvl w:ilvl="2" w:tplc="04260005" w:tentative="1">
      <w:start w:val="1"/>
      <w:numFmt w:val="bullet"/>
      <w:lvlText w:val=""/>
      <w:lvlJc w:val="left"/>
      <w:pPr>
        <w:ind w:left="2666" w:hanging="360"/>
      </w:pPr>
      <w:rPr>
        <w:rFonts w:ascii="Wingdings" w:hAnsi="Wingdings" w:hint="default"/>
      </w:rPr>
    </w:lvl>
    <w:lvl w:ilvl="3" w:tplc="04260001" w:tentative="1">
      <w:start w:val="1"/>
      <w:numFmt w:val="bullet"/>
      <w:lvlText w:val=""/>
      <w:lvlJc w:val="left"/>
      <w:pPr>
        <w:ind w:left="3386" w:hanging="360"/>
      </w:pPr>
      <w:rPr>
        <w:rFonts w:ascii="Symbol" w:hAnsi="Symbol" w:hint="default"/>
      </w:rPr>
    </w:lvl>
    <w:lvl w:ilvl="4" w:tplc="04260003" w:tentative="1">
      <w:start w:val="1"/>
      <w:numFmt w:val="bullet"/>
      <w:lvlText w:val="o"/>
      <w:lvlJc w:val="left"/>
      <w:pPr>
        <w:ind w:left="4106" w:hanging="360"/>
      </w:pPr>
      <w:rPr>
        <w:rFonts w:ascii="Courier New" w:hAnsi="Courier New" w:cs="Courier New" w:hint="default"/>
      </w:rPr>
    </w:lvl>
    <w:lvl w:ilvl="5" w:tplc="04260005" w:tentative="1">
      <w:start w:val="1"/>
      <w:numFmt w:val="bullet"/>
      <w:lvlText w:val=""/>
      <w:lvlJc w:val="left"/>
      <w:pPr>
        <w:ind w:left="4826" w:hanging="360"/>
      </w:pPr>
      <w:rPr>
        <w:rFonts w:ascii="Wingdings" w:hAnsi="Wingdings" w:hint="default"/>
      </w:rPr>
    </w:lvl>
    <w:lvl w:ilvl="6" w:tplc="04260001" w:tentative="1">
      <w:start w:val="1"/>
      <w:numFmt w:val="bullet"/>
      <w:lvlText w:val=""/>
      <w:lvlJc w:val="left"/>
      <w:pPr>
        <w:ind w:left="5546" w:hanging="360"/>
      </w:pPr>
      <w:rPr>
        <w:rFonts w:ascii="Symbol" w:hAnsi="Symbol" w:hint="default"/>
      </w:rPr>
    </w:lvl>
    <w:lvl w:ilvl="7" w:tplc="04260003" w:tentative="1">
      <w:start w:val="1"/>
      <w:numFmt w:val="bullet"/>
      <w:lvlText w:val="o"/>
      <w:lvlJc w:val="left"/>
      <w:pPr>
        <w:ind w:left="6266" w:hanging="360"/>
      </w:pPr>
      <w:rPr>
        <w:rFonts w:ascii="Courier New" w:hAnsi="Courier New" w:cs="Courier New" w:hint="default"/>
      </w:rPr>
    </w:lvl>
    <w:lvl w:ilvl="8" w:tplc="04260005" w:tentative="1">
      <w:start w:val="1"/>
      <w:numFmt w:val="bullet"/>
      <w:lvlText w:val=""/>
      <w:lvlJc w:val="left"/>
      <w:pPr>
        <w:ind w:left="6986" w:hanging="360"/>
      </w:pPr>
      <w:rPr>
        <w:rFonts w:ascii="Wingdings" w:hAnsi="Wingdings" w:hint="default"/>
      </w:rPr>
    </w:lvl>
  </w:abstractNum>
  <w:abstractNum w:abstractNumId="14" w15:restartNumberingAfterBreak="0">
    <w:nsid w:val="33B02DE1"/>
    <w:multiLevelType w:val="hybridMultilevel"/>
    <w:tmpl w:val="342C02F2"/>
    <w:lvl w:ilvl="0" w:tplc="05F00CE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643B57"/>
    <w:multiLevelType w:val="hybridMultilevel"/>
    <w:tmpl w:val="F15A9DD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0683F"/>
    <w:rsid w:val="00030349"/>
    <w:rsid w:val="0006272D"/>
    <w:rsid w:val="000762E2"/>
    <w:rsid w:val="00080EB0"/>
    <w:rsid w:val="00090F81"/>
    <w:rsid w:val="0009125A"/>
    <w:rsid w:val="000B0F3E"/>
    <w:rsid w:val="000D2C2D"/>
    <w:rsid w:val="000D48DE"/>
    <w:rsid w:val="0010385B"/>
    <w:rsid w:val="00124173"/>
    <w:rsid w:val="00160D77"/>
    <w:rsid w:val="001925A3"/>
    <w:rsid w:val="002049D2"/>
    <w:rsid w:val="00212089"/>
    <w:rsid w:val="0021556E"/>
    <w:rsid w:val="00230E26"/>
    <w:rsid w:val="00275B9E"/>
    <w:rsid w:val="00280DF6"/>
    <w:rsid w:val="0029154C"/>
    <w:rsid w:val="0029555D"/>
    <w:rsid w:val="002A04D2"/>
    <w:rsid w:val="002B3077"/>
    <w:rsid w:val="002C4408"/>
    <w:rsid w:val="002E1474"/>
    <w:rsid w:val="00307F6A"/>
    <w:rsid w:val="00335032"/>
    <w:rsid w:val="003431E9"/>
    <w:rsid w:val="00351494"/>
    <w:rsid w:val="0035197F"/>
    <w:rsid w:val="003C15D9"/>
    <w:rsid w:val="00404D5B"/>
    <w:rsid w:val="004111E5"/>
    <w:rsid w:val="00412762"/>
    <w:rsid w:val="00424FD3"/>
    <w:rsid w:val="00445E09"/>
    <w:rsid w:val="00463B6C"/>
    <w:rsid w:val="004647E8"/>
    <w:rsid w:val="00493308"/>
    <w:rsid w:val="004B581E"/>
    <w:rsid w:val="004B764E"/>
    <w:rsid w:val="004C56C6"/>
    <w:rsid w:val="004D7D93"/>
    <w:rsid w:val="00511946"/>
    <w:rsid w:val="00526251"/>
    <w:rsid w:val="00531110"/>
    <w:rsid w:val="00535564"/>
    <w:rsid w:val="005B57C2"/>
    <w:rsid w:val="005D1088"/>
    <w:rsid w:val="00622120"/>
    <w:rsid w:val="00622CB1"/>
    <w:rsid w:val="006230C3"/>
    <w:rsid w:val="00656D42"/>
    <w:rsid w:val="00663C3A"/>
    <w:rsid w:val="00675B7D"/>
    <w:rsid w:val="0068242F"/>
    <w:rsid w:val="006C1639"/>
    <w:rsid w:val="006D01A7"/>
    <w:rsid w:val="00700EBD"/>
    <w:rsid w:val="0070243B"/>
    <w:rsid w:val="00747CCB"/>
    <w:rsid w:val="00766916"/>
    <w:rsid w:val="007678C6"/>
    <w:rsid w:val="007704BD"/>
    <w:rsid w:val="00793BB6"/>
    <w:rsid w:val="007A787D"/>
    <w:rsid w:val="007B0932"/>
    <w:rsid w:val="007B3BA5"/>
    <w:rsid w:val="007B48EC"/>
    <w:rsid w:val="007E4D1F"/>
    <w:rsid w:val="007F2E1E"/>
    <w:rsid w:val="00800C0B"/>
    <w:rsid w:val="00815277"/>
    <w:rsid w:val="00876C21"/>
    <w:rsid w:val="008B2012"/>
    <w:rsid w:val="00950DDC"/>
    <w:rsid w:val="00954D5A"/>
    <w:rsid w:val="00956950"/>
    <w:rsid w:val="009A3A6E"/>
    <w:rsid w:val="00A07B7E"/>
    <w:rsid w:val="00A17275"/>
    <w:rsid w:val="00AD2D59"/>
    <w:rsid w:val="00B36E59"/>
    <w:rsid w:val="00B57FA5"/>
    <w:rsid w:val="00B74FEA"/>
    <w:rsid w:val="00BD4F81"/>
    <w:rsid w:val="00C05326"/>
    <w:rsid w:val="00C05C94"/>
    <w:rsid w:val="00C05FAB"/>
    <w:rsid w:val="00C47F57"/>
    <w:rsid w:val="00C66155"/>
    <w:rsid w:val="00C94648"/>
    <w:rsid w:val="00CA6C67"/>
    <w:rsid w:val="00CB62E7"/>
    <w:rsid w:val="00CC26FF"/>
    <w:rsid w:val="00CD6899"/>
    <w:rsid w:val="00CE787B"/>
    <w:rsid w:val="00CF7851"/>
    <w:rsid w:val="00D21FA6"/>
    <w:rsid w:val="00D274F7"/>
    <w:rsid w:val="00D4128B"/>
    <w:rsid w:val="00D55B4B"/>
    <w:rsid w:val="00D622D2"/>
    <w:rsid w:val="00D76A6A"/>
    <w:rsid w:val="00DB392E"/>
    <w:rsid w:val="00E15E4F"/>
    <w:rsid w:val="00E365CE"/>
    <w:rsid w:val="00E71656"/>
    <w:rsid w:val="00E74B39"/>
    <w:rsid w:val="00EC7731"/>
    <w:rsid w:val="00F32BB0"/>
    <w:rsid w:val="00F34434"/>
    <w:rsid w:val="00F44916"/>
    <w:rsid w:val="00F4783A"/>
    <w:rsid w:val="00F547D2"/>
    <w:rsid w:val="00F60586"/>
    <w:rsid w:val="00F92188"/>
    <w:rsid w:val="00FC4A77"/>
    <w:rsid w:val="00FC7FED"/>
    <w:rsid w:val="00FD73EE"/>
    <w:rsid w:val="00FF0BDB"/>
    <w:rsid w:val="00FF5FAA"/>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6C9B37-8482-45B7-A26B-0DF45B81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E74B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4111E5"/>
    <w:pPr>
      <w:widowControl/>
      <w:spacing w:after="0" w:line="240" w:lineRule="auto"/>
      <w:ind w:left="720"/>
      <w:contextualSpacing/>
    </w:pPr>
    <w:rPr>
      <w:rFonts w:ascii="Times New Roman" w:eastAsia="Times New Roman" w:hAnsi="Times New Roman"/>
      <w:sz w:val="24"/>
      <w:szCs w:val="24"/>
      <w:lang w:val="lv-LV" w:eastAsia="lv-LV"/>
    </w:rPr>
  </w:style>
  <w:style w:type="paragraph" w:styleId="NoSpacing">
    <w:name w:val="No Spacing"/>
    <w:uiPriority w:val="1"/>
    <w:qFormat/>
    <w:rsid w:val="004111E5"/>
    <w:pPr>
      <w:widowControl w:val="0"/>
    </w:pPr>
    <w:rPr>
      <w:sz w:val="22"/>
      <w:szCs w:val="22"/>
      <w:lang w:val="en-US" w:eastAsia="en-US"/>
    </w:rPr>
  </w:style>
  <w:style w:type="table" w:styleId="TableGrid">
    <w:name w:val="Table Grid"/>
    <w:basedOn w:val="TableNormal"/>
    <w:uiPriority w:val="59"/>
    <w:rsid w:val="00411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74B39"/>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04092">
      <w:bodyDiv w:val="1"/>
      <w:marLeft w:val="0"/>
      <w:marRight w:val="0"/>
      <w:marTop w:val="0"/>
      <w:marBottom w:val="0"/>
      <w:divBdr>
        <w:top w:val="none" w:sz="0" w:space="0" w:color="auto"/>
        <w:left w:val="none" w:sz="0" w:space="0" w:color="auto"/>
        <w:bottom w:val="none" w:sz="0" w:space="0" w:color="auto"/>
        <w:right w:val="none" w:sz="0" w:space="0" w:color="auto"/>
      </w:divBdr>
    </w:div>
    <w:div w:id="1251550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19-darba-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7592-3DE5-499B-AE1B-FA83D129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4950</Words>
  <Characters>2822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Ginta Grīnvalde</cp:lastModifiedBy>
  <cp:revision>5</cp:revision>
  <cp:lastPrinted>2017-10-17T12:18:00Z</cp:lastPrinted>
  <dcterms:created xsi:type="dcterms:W3CDTF">2017-10-31T12:17:00Z</dcterms:created>
  <dcterms:modified xsi:type="dcterms:W3CDTF">2017-12-05T06:18:00Z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